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497" w:right="0" w:firstLine="0"/>
        <w:rPr>
          <w:sz w:val="20"/>
        </w:rPr>
      </w:pPr>
      <w:r>
        <w:rPr>
          <w:position w:val="12"/>
          <w:sz w:val="20"/>
        </w:rPr>
        <w:drawing>
          <wp:inline distT="0" distB="0" distL="0" distR="0">
            <wp:extent cx="1888856" cy="1393031"/>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88856" cy="1393031"/>
                    </a:xfrm>
                    <a:prstGeom prst="rect">
                      <a:avLst/>
                    </a:prstGeom>
                  </pic:spPr>
                </pic:pic>
              </a:graphicData>
            </a:graphic>
          </wp:inline>
        </w:drawing>
      </w:r>
      <w:r>
        <w:rPr>
          <w:position w:val="12"/>
          <w:sz w:val="20"/>
        </w:rPr>
      </w:r>
      <w:r>
        <w:rPr>
          <w:spacing w:val="11"/>
          <w:position w:val="12"/>
          <w:sz w:val="20"/>
        </w:rPr>
        <w:t> </w:t>
      </w:r>
      <w:r>
        <w:rPr>
          <w:spacing w:val="11"/>
          <w:sz w:val="20"/>
        </w:rPr>
        <w:pict>
          <v:shapetype id="_x0000_t202" o:spt="202" coordsize="21600,21600" path="m,l,21600r21600,l21600,xe">
            <v:stroke joinstyle="miter"/>
            <v:path gradientshapeok="t" o:connecttype="rect"/>
          </v:shapetype>
          <v:shape style="width:348.5pt;height:104.05pt;mso-position-horizontal-relative:char;mso-position-vertical-relative:line" type="#_x0000_t202" filled="true" fillcolor="#ccffcc" stroked="false">
            <w10:anchorlock/>
            <v:textbox inset="0,0,0,0">
              <w:txbxContent>
                <w:p>
                  <w:pPr>
                    <w:spacing w:line="507" w:lineRule="exact" w:before="71"/>
                    <w:ind w:left="199" w:right="0" w:firstLine="0"/>
                    <w:jc w:val="left"/>
                    <w:rPr>
                      <w:rFonts w:ascii="Arial Black"/>
                      <w:sz w:val="36"/>
                    </w:rPr>
                  </w:pPr>
                  <w:r>
                    <w:rPr>
                      <w:rFonts w:ascii="Arial Black"/>
                      <w:color w:val="993200"/>
                      <w:sz w:val="36"/>
                    </w:rPr>
                    <w:t>Friends of Khasdobir, Bangladesh</w:t>
                  </w:r>
                </w:p>
                <w:p>
                  <w:pPr>
                    <w:spacing w:line="229" w:lineRule="exact" w:before="0"/>
                    <w:ind w:left="4492" w:right="0" w:firstLine="0"/>
                    <w:jc w:val="left"/>
                    <w:rPr>
                      <w:rFonts w:ascii="Arial"/>
                      <w:b/>
                      <w:i/>
                      <w:sz w:val="20"/>
                    </w:rPr>
                  </w:pPr>
                  <w:r>
                    <w:rPr>
                      <w:rFonts w:ascii="Arial"/>
                      <w:b/>
                      <w:i/>
                      <w:color w:val="993200"/>
                      <w:sz w:val="20"/>
                    </w:rPr>
                    <w:t>Charity Number</w:t>
                  </w:r>
                  <w:r>
                    <w:rPr>
                      <w:rFonts w:ascii="Arial"/>
                      <w:b/>
                      <w:i/>
                      <w:color w:val="993200"/>
                      <w:spacing w:val="-12"/>
                      <w:sz w:val="20"/>
                    </w:rPr>
                    <w:t> </w:t>
                  </w:r>
                  <w:r>
                    <w:rPr>
                      <w:rFonts w:ascii="Arial"/>
                      <w:b/>
                      <w:i/>
                      <w:color w:val="993200"/>
                      <w:sz w:val="20"/>
                    </w:rPr>
                    <w:t>1116316</w:t>
                  </w:r>
                </w:p>
                <w:p>
                  <w:pPr>
                    <w:pStyle w:val="BodyText"/>
                    <w:spacing w:before="7"/>
                    <w:rPr>
                      <w:sz w:val="23"/>
                    </w:rPr>
                  </w:pPr>
                </w:p>
                <w:p>
                  <w:pPr>
                    <w:spacing w:before="0"/>
                    <w:ind w:left="143" w:right="0" w:firstLine="0"/>
                    <w:jc w:val="left"/>
                    <w:rPr>
                      <w:rFonts w:ascii="Arial"/>
                      <w:i/>
                      <w:sz w:val="38"/>
                    </w:rPr>
                  </w:pPr>
                  <w:r>
                    <w:rPr>
                      <w:rFonts w:ascii="Arial"/>
                      <w:i/>
                      <w:color w:val="993200"/>
                      <w:w w:val="120"/>
                      <w:sz w:val="38"/>
                    </w:rPr>
                    <w:t>11</w:t>
                  </w:r>
                  <w:r>
                    <w:rPr>
                      <w:rFonts w:ascii="Arial"/>
                      <w:i/>
                      <w:color w:val="993200"/>
                      <w:w w:val="120"/>
                      <w:position w:val="14"/>
                      <w:sz w:val="23"/>
                    </w:rPr>
                    <w:t>th </w:t>
                  </w:r>
                  <w:r>
                    <w:rPr>
                      <w:rFonts w:ascii="Arial"/>
                      <w:i/>
                      <w:color w:val="993200"/>
                      <w:w w:val="120"/>
                      <w:sz w:val="38"/>
                    </w:rPr>
                    <w:t>Annual Report and</w:t>
                  </w:r>
                  <w:r>
                    <w:rPr>
                      <w:rFonts w:ascii="Arial"/>
                      <w:i/>
                      <w:color w:val="993200"/>
                      <w:spacing w:val="-77"/>
                      <w:w w:val="120"/>
                      <w:sz w:val="38"/>
                    </w:rPr>
                    <w:t> </w:t>
                  </w:r>
                  <w:r>
                    <w:rPr>
                      <w:rFonts w:ascii="Arial"/>
                      <w:i/>
                      <w:color w:val="993200"/>
                      <w:w w:val="120"/>
                      <w:sz w:val="38"/>
                    </w:rPr>
                    <w:t>Accounts</w:t>
                  </w:r>
                </w:p>
                <w:p>
                  <w:pPr>
                    <w:spacing w:before="29"/>
                    <w:ind w:left="4329" w:right="0" w:firstLine="0"/>
                    <w:jc w:val="left"/>
                    <w:rPr>
                      <w:rFonts w:ascii="Arial"/>
                      <w:b/>
                      <w:sz w:val="28"/>
                    </w:rPr>
                  </w:pPr>
                  <w:r>
                    <w:rPr>
                      <w:rFonts w:ascii="Arial"/>
                      <w:b/>
                      <w:color w:val="993200"/>
                      <w:sz w:val="28"/>
                    </w:rPr>
                    <w:t>To 31</w:t>
                  </w:r>
                  <w:r>
                    <w:rPr>
                      <w:rFonts w:ascii="Arial"/>
                      <w:b/>
                      <w:color w:val="993200"/>
                      <w:sz w:val="28"/>
                      <w:vertAlign w:val="superscript"/>
                    </w:rPr>
                    <w:t>st</w:t>
                  </w:r>
                  <w:r>
                    <w:rPr>
                      <w:rFonts w:ascii="Arial"/>
                      <w:b/>
                      <w:color w:val="993200"/>
                      <w:sz w:val="28"/>
                      <w:vertAlign w:val="baseline"/>
                    </w:rPr>
                    <w:t> March 2017</w:t>
                  </w:r>
                </w:p>
              </w:txbxContent>
            </v:textbox>
            <v:fill type="solid"/>
          </v:shape>
        </w:pict>
      </w:r>
      <w:r>
        <w:rPr>
          <w:spacing w:val="11"/>
          <w:sz w:val="20"/>
        </w:rPr>
      </w:r>
    </w:p>
    <w:p>
      <w:pPr>
        <w:pStyle w:val="BodyText"/>
        <w:spacing w:before="93"/>
        <w:ind w:left="574"/>
      </w:pPr>
      <w:r>
        <w:rPr>
          <w:b/>
        </w:rPr>
        <w:t>Patrons: </w:t>
      </w:r>
      <w:r>
        <w:rPr/>
        <w:t>The Rt Hon Nicky Morgan MP, Sir Kevin Barron MP</w:t>
      </w:r>
    </w:p>
    <w:p>
      <w:pPr>
        <w:spacing w:before="163"/>
        <w:ind w:left="648" w:right="0" w:firstLine="0"/>
        <w:jc w:val="left"/>
        <w:rPr>
          <w:b/>
          <w:sz w:val="24"/>
        </w:rPr>
      </w:pPr>
      <w:r>
        <w:rPr>
          <w:b/>
          <w:sz w:val="24"/>
        </w:rPr>
        <w:t>Trustees</w:t>
      </w:r>
    </w:p>
    <w:p>
      <w:pPr>
        <w:spacing w:after="0"/>
        <w:jc w:val="left"/>
        <w:rPr>
          <w:sz w:val="24"/>
        </w:rPr>
        <w:sectPr>
          <w:type w:val="continuous"/>
          <w:pgSz w:w="11900" w:h="16840"/>
          <w:pgMar w:top="1160" w:bottom="280" w:left="700" w:right="580"/>
        </w:sectPr>
      </w:pPr>
    </w:p>
    <w:p>
      <w:pPr>
        <w:pStyle w:val="Heading2"/>
        <w:ind w:left="648" w:right="1929"/>
        <w:jc w:val="both"/>
      </w:pPr>
      <w:r>
        <w:rPr/>
        <w:t>Mr Mike Sherriff (Chair) Mrs Moyra Blake</w:t>
      </w:r>
    </w:p>
    <w:p>
      <w:pPr>
        <w:spacing w:before="0"/>
        <w:ind w:left="648" w:right="0" w:firstLine="0"/>
        <w:jc w:val="both"/>
        <w:rPr>
          <w:sz w:val="24"/>
        </w:rPr>
      </w:pPr>
      <w:r>
        <w:rPr>
          <w:sz w:val="24"/>
        </w:rPr>
        <w:t>Mrs Jean Brown</w:t>
      </w:r>
    </w:p>
    <w:p>
      <w:pPr>
        <w:spacing w:before="0"/>
        <w:ind w:left="648" w:right="2203" w:firstLine="0"/>
        <w:jc w:val="both"/>
        <w:rPr>
          <w:sz w:val="24"/>
        </w:rPr>
      </w:pPr>
      <w:r>
        <w:rPr>
          <w:sz w:val="24"/>
        </w:rPr>
        <w:t>Ms Maureen Haddock Mrs Kathleen Jackson Mr Kazi Mashud</w:t>
      </w:r>
    </w:p>
    <w:p>
      <w:pPr>
        <w:spacing w:before="140"/>
        <w:ind w:left="583" w:right="0" w:firstLine="0"/>
        <w:jc w:val="both"/>
        <w:rPr>
          <w:b/>
          <w:sz w:val="24"/>
        </w:rPr>
      </w:pPr>
      <w:r>
        <w:rPr>
          <w:i/>
          <w:sz w:val="24"/>
        </w:rPr>
        <w:t>Bankers: </w:t>
      </w:r>
      <w:r>
        <w:rPr>
          <w:sz w:val="24"/>
        </w:rPr>
        <w:t>Barclays Business Banking</w:t>
      </w:r>
      <w:r>
        <w:rPr>
          <w:b/>
          <w:sz w:val="24"/>
        </w:rPr>
        <w:t>.</w:t>
      </w:r>
    </w:p>
    <w:p>
      <w:pPr>
        <w:spacing w:before="0"/>
        <w:ind w:left="583" w:right="0" w:firstLine="0"/>
        <w:jc w:val="both"/>
        <w:rPr>
          <w:sz w:val="24"/>
        </w:rPr>
      </w:pPr>
      <w:r>
        <w:rPr>
          <w:i/>
          <w:sz w:val="24"/>
        </w:rPr>
        <w:t>Ind. Examiner</w:t>
      </w:r>
      <w:r>
        <w:rPr>
          <w:sz w:val="24"/>
        </w:rPr>
        <w:t>: ICFS Agar FCA</w:t>
      </w:r>
    </w:p>
    <w:p>
      <w:pPr>
        <w:spacing w:before="0"/>
        <w:ind w:left="583" w:right="0" w:firstLine="0"/>
        <w:jc w:val="both"/>
        <w:rPr>
          <w:sz w:val="24"/>
        </w:rPr>
      </w:pPr>
      <w:r>
        <w:rPr>
          <w:i/>
          <w:sz w:val="24"/>
        </w:rPr>
        <w:t>Web site</w:t>
      </w:r>
      <w:r>
        <w:rPr>
          <w:sz w:val="24"/>
        </w:rPr>
        <w:t>:</w:t>
      </w:r>
      <w:r>
        <w:rPr>
          <w:spacing w:val="58"/>
          <w:sz w:val="24"/>
        </w:rPr>
        <w:t> </w:t>
      </w:r>
      <w:hyperlink r:id="rId6">
        <w:r>
          <w:rPr>
            <w:color w:val="0000FF"/>
            <w:sz w:val="24"/>
            <w:u w:val="single" w:color="0000FF"/>
          </w:rPr>
          <w:t>www.khasdobir.org.uk</w:t>
        </w:r>
        <w:r>
          <w:rPr>
            <w:sz w:val="24"/>
          </w:rPr>
          <w:t>.</w:t>
        </w:r>
      </w:hyperlink>
    </w:p>
    <w:p>
      <w:pPr>
        <w:pStyle w:val="BodyText"/>
        <w:spacing w:before="10"/>
      </w:pPr>
    </w:p>
    <w:p>
      <w:pPr>
        <w:pStyle w:val="Heading3"/>
      </w:pPr>
      <w:r>
        <w:rPr>
          <w:color w:val="993200"/>
        </w:rPr>
        <w:t>History and Objectives</w:t>
      </w:r>
    </w:p>
    <w:p>
      <w:pPr>
        <w:pStyle w:val="BodyText"/>
        <w:ind w:left="552"/>
        <w:jc w:val="both"/>
      </w:pPr>
      <w:r>
        <w:rPr/>
        <w:t>Friends of Khasdobir came into existence at our inaugural meeting on July 8</w:t>
      </w:r>
      <w:r>
        <w:rPr>
          <w:vertAlign w:val="superscript"/>
        </w:rPr>
        <w:t>th</w:t>
      </w:r>
      <w:r>
        <w:rPr>
          <w:vertAlign w:val="baseline"/>
        </w:rPr>
        <w:t> 2006 and our registration as a charity was completed in October 2006. For several years prior to that we operated as part of Toc H under the name Toc H Friends of Khasdobir. The objects of Friends of Khasdobir, Bangladesh are:</w:t>
      </w:r>
    </w:p>
    <w:p>
      <w:pPr>
        <w:pStyle w:val="BodyText"/>
        <w:spacing w:before="9"/>
        <w:rPr>
          <w:sz w:val="21"/>
        </w:rPr>
      </w:pPr>
    </w:p>
    <w:p>
      <w:pPr>
        <w:spacing w:before="0"/>
        <w:ind w:left="552" w:right="0" w:firstLine="0"/>
        <w:jc w:val="both"/>
        <w:rPr>
          <w:i/>
          <w:sz w:val="22"/>
        </w:rPr>
      </w:pPr>
      <w:r>
        <w:rPr>
          <w:i/>
          <w:sz w:val="22"/>
        </w:rPr>
        <w:t>To advance the education of children, young </w:t>
      </w:r>
      <w:r>
        <w:rPr>
          <w:i/>
          <w:sz w:val="22"/>
        </w:rPr>
        <w:t>people and adults in Bangladesh, in particular by supporting the work of the Khasdobir </w:t>
      </w:r>
      <w:r>
        <w:rPr>
          <w:i/>
          <w:spacing w:val="-3"/>
          <w:sz w:val="22"/>
        </w:rPr>
        <w:t>Youth </w:t>
      </w:r>
      <w:r>
        <w:rPr>
          <w:i/>
          <w:sz w:val="22"/>
        </w:rPr>
        <w:t>Action Group to provide and assist in the provision of facilities for education in the area currently known as</w:t>
      </w:r>
      <w:r>
        <w:rPr>
          <w:i/>
          <w:spacing w:val="-3"/>
          <w:sz w:val="22"/>
        </w:rPr>
        <w:t> </w:t>
      </w:r>
      <w:r>
        <w:rPr>
          <w:i/>
          <w:sz w:val="22"/>
        </w:rPr>
        <w:t>Sylhet.</w:t>
      </w:r>
    </w:p>
    <w:p>
      <w:pPr>
        <w:pStyle w:val="BodyText"/>
        <w:spacing w:before="1"/>
        <w:rPr>
          <w:i/>
        </w:rPr>
      </w:pPr>
    </w:p>
    <w:p>
      <w:pPr>
        <w:spacing w:before="0"/>
        <w:ind w:left="552" w:right="0" w:firstLine="0"/>
        <w:jc w:val="both"/>
        <w:rPr>
          <w:i/>
          <w:sz w:val="22"/>
        </w:rPr>
      </w:pPr>
      <w:r>
        <w:rPr>
          <w:i/>
          <w:sz w:val="22"/>
        </w:rPr>
        <w:t>The relief of financial hardship among </w:t>
      </w:r>
      <w:r>
        <w:rPr>
          <w:i/>
          <w:spacing w:val="-3"/>
          <w:sz w:val="22"/>
        </w:rPr>
        <w:t>people </w:t>
      </w:r>
      <w:r>
        <w:rPr>
          <w:i/>
          <w:sz w:val="22"/>
        </w:rPr>
        <w:t>living in Bangladesh, in particular by supporting the work of the Khasdobir Youth Action Group to make grants of money and provide goods, services or facilities for the relief of the poor living in the area currently known as</w:t>
      </w:r>
      <w:r>
        <w:rPr>
          <w:i/>
          <w:spacing w:val="-10"/>
          <w:sz w:val="22"/>
        </w:rPr>
        <w:t> </w:t>
      </w:r>
      <w:r>
        <w:rPr>
          <w:i/>
          <w:sz w:val="22"/>
        </w:rPr>
        <w:t>Sylhet.</w:t>
      </w:r>
    </w:p>
    <w:p>
      <w:pPr>
        <w:pStyle w:val="BodyText"/>
        <w:rPr>
          <w:i/>
        </w:rPr>
      </w:pPr>
    </w:p>
    <w:p>
      <w:pPr>
        <w:spacing w:before="0"/>
        <w:ind w:left="552" w:right="0" w:firstLine="0"/>
        <w:jc w:val="both"/>
        <w:rPr>
          <w:i/>
          <w:sz w:val="22"/>
        </w:rPr>
      </w:pPr>
      <w:r>
        <w:rPr>
          <w:i/>
          <w:sz w:val="22"/>
        </w:rPr>
        <w:t>To advance the education of the public  </w:t>
      </w:r>
      <w:r>
        <w:rPr>
          <w:i/>
          <w:spacing w:val="-7"/>
          <w:sz w:val="22"/>
        </w:rPr>
        <w:t>in </w:t>
      </w:r>
      <w:r>
        <w:rPr>
          <w:i/>
          <w:sz w:val="22"/>
        </w:rPr>
        <w:t>England and Wales in the subject of development in Bangladesh.</w:t>
      </w:r>
    </w:p>
    <w:p>
      <w:pPr>
        <w:pStyle w:val="BodyText"/>
        <w:spacing w:before="4"/>
        <w:rPr>
          <w:i/>
          <w:sz w:val="24"/>
        </w:rPr>
      </w:pPr>
    </w:p>
    <w:p>
      <w:pPr>
        <w:pStyle w:val="Heading3"/>
        <w:spacing w:line="250" w:lineRule="exact"/>
      </w:pPr>
      <w:r>
        <w:rPr>
          <w:color w:val="993200"/>
        </w:rPr>
        <w:t>Structure, Governance and Management</w:t>
      </w:r>
    </w:p>
    <w:p>
      <w:pPr>
        <w:pStyle w:val="BodyText"/>
        <w:ind w:left="552"/>
        <w:jc w:val="both"/>
      </w:pPr>
      <w:r>
        <w:rPr/>
        <w:t>The Charity is governed by a Constitution adopted at a General Meeting held on July </w:t>
      </w:r>
      <w:r>
        <w:rPr>
          <w:spacing w:val="-6"/>
        </w:rPr>
        <w:t>8</w:t>
      </w:r>
      <w:r>
        <w:rPr>
          <w:spacing w:val="-6"/>
          <w:vertAlign w:val="superscript"/>
        </w:rPr>
        <w:t>th</w:t>
      </w:r>
      <w:r>
        <w:rPr>
          <w:spacing w:val="-6"/>
          <w:vertAlign w:val="baseline"/>
        </w:rPr>
        <w:t> </w:t>
      </w:r>
      <w:r>
        <w:rPr>
          <w:vertAlign w:val="baseline"/>
        </w:rPr>
        <w:t>2006. Trustees, most of whom have visited</w:t>
      </w:r>
      <w:r>
        <w:rPr>
          <w:spacing w:val="-12"/>
          <w:vertAlign w:val="baseline"/>
        </w:rPr>
        <w:t> </w:t>
      </w:r>
      <w:r>
        <w:rPr>
          <w:vertAlign w:val="baseline"/>
        </w:rPr>
        <w:t>the</w:t>
      </w:r>
    </w:p>
    <w:p>
      <w:pPr>
        <w:pStyle w:val="Heading2"/>
        <w:spacing w:before="29"/>
      </w:pPr>
      <w:r>
        <w:rPr/>
        <w:br w:type="column"/>
      </w:r>
      <w:r>
        <w:rPr/>
        <w:t>Mr Monjur Elahi (Mithu)</w:t>
      </w:r>
    </w:p>
    <w:p>
      <w:pPr>
        <w:spacing w:before="0"/>
        <w:ind w:left="111" w:right="2592" w:firstLine="0"/>
        <w:jc w:val="left"/>
        <w:rPr>
          <w:sz w:val="24"/>
        </w:rPr>
      </w:pPr>
      <w:r>
        <w:rPr>
          <w:sz w:val="24"/>
        </w:rPr>
        <w:t>Mr Geoffrey Pool (Treasurer) Ms Sue Simmons</w:t>
      </w:r>
    </w:p>
    <w:p>
      <w:pPr>
        <w:spacing w:before="0"/>
        <w:ind w:left="111" w:right="0" w:firstLine="0"/>
        <w:jc w:val="left"/>
        <w:rPr>
          <w:sz w:val="24"/>
        </w:rPr>
      </w:pPr>
      <w:r>
        <w:rPr>
          <w:sz w:val="24"/>
        </w:rPr>
        <w:t>Mrs Doreen Watson</w:t>
      </w:r>
    </w:p>
    <w:p>
      <w:pPr>
        <w:spacing w:before="0"/>
        <w:ind w:left="111" w:right="0" w:firstLine="0"/>
        <w:jc w:val="left"/>
        <w:rPr>
          <w:sz w:val="24"/>
        </w:rPr>
      </w:pPr>
      <w:r>
        <w:rPr>
          <w:sz w:val="24"/>
        </w:rPr>
        <w:t>Mr Philip Watson (Secretary)</w:t>
      </w:r>
    </w:p>
    <w:p>
      <w:pPr>
        <w:pStyle w:val="BodyText"/>
        <w:rPr>
          <w:sz w:val="20"/>
        </w:rPr>
      </w:pPr>
    </w:p>
    <w:p>
      <w:pPr>
        <w:pStyle w:val="BodyText"/>
        <w:spacing w:before="3"/>
        <w:rPr>
          <w:sz w:val="20"/>
        </w:rPr>
      </w:pPr>
      <w:r>
        <w:rPr/>
        <w:pict>
          <v:group style="position:absolute;margin-left:321pt;margin-top:13.609082pt;width:231pt;height:204.6pt;mso-position-horizontal-relative:page;mso-position-vertical-relative:paragraph;z-index:-251656192;mso-wrap-distance-left:0;mso-wrap-distance-right:0" coordorigin="6420,272" coordsize="4620,4092">
            <v:line style="position:absolute" from="6420,4354" to="11040,4354" stroked="true" strokeweight="1pt" strokecolor="#983200">
              <v:stroke dashstyle="solid"/>
            </v:line>
            <v:line style="position:absolute" from="6430,294" to="6430,4344" stroked="true" strokeweight=".96pt" strokecolor="#983200">
              <v:stroke dashstyle="solid"/>
            </v:line>
            <v:line style="position:absolute" from="6420,283" to="11040,283" stroked="true" strokeweight="1.1pt" strokecolor="#983200">
              <v:stroke dashstyle="solid"/>
            </v:line>
            <v:line style="position:absolute" from="11030,295" to="11030,4343" stroked="true" strokeweight=".96pt" strokecolor="#983200">
              <v:stroke dashstyle="solid"/>
            </v:line>
            <v:rect style="position:absolute;left:6460;top:4304;width:4539;height:20" filled="true" fillcolor="#983200" stroked="false">
              <v:fill type="solid"/>
            </v:rect>
            <v:line style="position:absolute" from="6470,332" to="6470,4304" stroked="true" strokeweight=".96pt" strokecolor="#983200">
              <v:stroke dashstyle="solid"/>
            </v:line>
            <v:rect style="position:absolute;left:6460;top:314;width:4539;height:18" filled="true" fillcolor="#983200" stroked="false">
              <v:fill type="solid"/>
            </v:rect>
            <v:line style="position:absolute" from="10990,333" to="10990,4305" stroked="true" strokeweight=".96pt" strokecolor="#983200">
              <v:stroke dashstyle="solid"/>
            </v:line>
            <v:shape style="position:absolute;left:6459;top:313;width:4541;height:4011" type="#_x0000_t202" filled="true" fillcolor="#ccffcc" stroked="false">
              <v:textbox inset="0,0,0,0">
                <w:txbxContent>
                  <w:p>
                    <w:pPr>
                      <w:spacing w:before="89"/>
                      <w:ind w:left="164" w:right="164" w:firstLine="0"/>
                      <w:jc w:val="both"/>
                      <w:rPr>
                        <w:rFonts w:ascii="Arial"/>
                        <w:b/>
                        <w:sz w:val="20"/>
                      </w:rPr>
                    </w:pPr>
                    <w:r>
                      <w:rPr>
                        <w:rFonts w:ascii="Arial"/>
                        <w:b/>
                        <w:color w:val="993200"/>
                        <w:sz w:val="20"/>
                      </w:rPr>
                      <w:t>These accounts will be presented at our AGM on</w:t>
                    </w:r>
                  </w:p>
                  <w:p>
                    <w:pPr>
                      <w:spacing w:line="228" w:lineRule="exact" w:before="0"/>
                      <w:ind w:left="1474" w:right="0" w:firstLine="0"/>
                      <w:jc w:val="left"/>
                      <w:rPr>
                        <w:rFonts w:ascii="Arial"/>
                        <w:b/>
                        <w:sz w:val="20"/>
                      </w:rPr>
                    </w:pPr>
                    <w:r>
                      <w:rPr>
                        <w:rFonts w:ascii="Arial"/>
                        <w:b/>
                        <w:color w:val="993200"/>
                        <w:sz w:val="20"/>
                      </w:rPr>
                      <w:t>Saturday July 1</w:t>
                    </w:r>
                    <w:r>
                      <w:rPr>
                        <w:rFonts w:ascii="Arial"/>
                        <w:b/>
                        <w:color w:val="993200"/>
                        <w:sz w:val="20"/>
                        <w:vertAlign w:val="superscript"/>
                      </w:rPr>
                      <w:t>st</w:t>
                    </w:r>
                  </w:p>
                  <w:p>
                    <w:pPr>
                      <w:spacing w:before="0"/>
                      <w:ind w:left="1849" w:right="0" w:firstLine="0"/>
                      <w:jc w:val="left"/>
                      <w:rPr>
                        <w:rFonts w:ascii="Arial"/>
                        <w:b/>
                        <w:sz w:val="20"/>
                      </w:rPr>
                    </w:pPr>
                    <w:r>
                      <w:rPr>
                        <w:rFonts w:ascii="Arial"/>
                        <w:b/>
                        <w:color w:val="993200"/>
                        <w:sz w:val="20"/>
                      </w:rPr>
                      <w:t>11.30 am</w:t>
                    </w:r>
                  </w:p>
                  <w:p>
                    <w:pPr>
                      <w:spacing w:before="1"/>
                      <w:ind w:left="409" w:right="0" w:hanging="34"/>
                      <w:jc w:val="left"/>
                      <w:rPr>
                        <w:rFonts w:ascii="Arial" w:hAnsi="Arial"/>
                        <w:b/>
                        <w:sz w:val="20"/>
                      </w:rPr>
                    </w:pPr>
                    <w:r>
                      <w:rPr>
                        <w:rFonts w:ascii="Arial" w:hAnsi="Arial"/>
                        <w:b/>
                        <w:color w:val="993200"/>
                        <w:sz w:val="20"/>
                      </w:rPr>
                      <w:t>Rosebery St Peter’s Community</w:t>
                    </w:r>
                    <w:r>
                      <w:rPr>
                        <w:rFonts w:ascii="Arial" w:hAnsi="Arial"/>
                        <w:b/>
                        <w:color w:val="993200"/>
                        <w:spacing w:val="-20"/>
                        <w:sz w:val="20"/>
                      </w:rPr>
                      <w:t> </w:t>
                    </w:r>
                    <w:r>
                      <w:rPr>
                        <w:rFonts w:ascii="Arial" w:hAnsi="Arial"/>
                        <w:b/>
                        <w:color w:val="993200"/>
                        <w:sz w:val="20"/>
                      </w:rPr>
                      <w:t>Centre, Storer Road , Loughborough LE11</w:t>
                    </w:r>
                    <w:r>
                      <w:rPr>
                        <w:rFonts w:ascii="Arial" w:hAnsi="Arial"/>
                        <w:b/>
                        <w:color w:val="993200"/>
                        <w:spacing w:val="-21"/>
                        <w:sz w:val="20"/>
                      </w:rPr>
                      <w:t> </w:t>
                    </w:r>
                    <w:r>
                      <w:rPr>
                        <w:rFonts w:ascii="Arial" w:hAnsi="Arial"/>
                        <w:b/>
                        <w:color w:val="993200"/>
                        <w:sz w:val="20"/>
                      </w:rPr>
                      <w:t>5EQ</w:t>
                    </w:r>
                  </w:p>
                  <w:p>
                    <w:pPr>
                      <w:spacing w:line="240" w:lineRule="auto" w:before="10"/>
                      <w:rPr>
                        <w:sz w:val="19"/>
                      </w:rPr>
                    </w:pPr>
                  </w:p>
                  <w:p>
                    <w:pPr>
                      <w:spacing w:before="0"/>
                      <w:ind w:left="164" w:right="162" w:firstLine="0"/>
                      <w:jc w:val="both"/>
                      <w:rPr>
                        <w:rFonts w:ascii="Arial" w:hAnsi="Arial"/>
                        <w:b/>
                        <w:sz w:val="20"/>
                      </w:rPr>
                    </w:pPr>
                    <w:r>
                      <w:rPr>
                        <w:rFonts w:ascii="Arial" w:hAnsi="Arial"/>
                        <w:b/>
                        <w:color w:val="993200"/>
                        <w:sz w:val="20"/>
                      </w:rPr>
                      <w:t>We do hope many of our supporters will come to what is usually an enjoyable and enlightening occasion – someone has even described it as the “highlight of the</w:t>
                    </w:r>
                    <w:r>
                      <w:rPr>
                        <w:rFonts w:ascii="Arial" w:hAnsi="Arial"/>
                        <w:b/>
                        <w:color w:val="993200"/>
                        <w:spacing w:val="-15"/>
                        <w:sz w:val="20"/>
                      </w:rPr>
                      <w:t> </w:t>
                    </w:r>
                    <w:r>
                      <w:rPr>
                        <w:rFonts w:ascii="Arial" w:hAnsi="Arial"/>
                        <w:b/>
                        <w:color w:val="993200"/>
                        <w:sz w:val="20"/>
                      </w:rPr>
                      <w:t>year”!</w:t>
                    </w:r>
                  </w:p>
                  <w:p>
                    <w:pPr>
                      <w:spacing w:before="4"/>
                      <w:ind w:left="164" w:right="165" w:firstLine="0"/>
                      <w:jc w:val="both"/>
                      <w:rPr>
                        <w:rFonts w:ascii="Arial" w:hAnsi="Arial"/>
                        <w:b/>
                        <w:i/>
                        <w:sz w:val="20"/>
                      </w:rPr>
                    </w:pPr>
                    <w:r>
                      <w:rPr>
                        <w:rFonts w:ascii="Arial" w:hAnsi="Arial"/>
                        <w:b/>
                        <w:i/>
                        <w:color w:val="993200"/>
                        <w:sz w:val="20"/>
                      </w:rPr>
                      <w:t>So we know numbers for the curry lunch </w:t>
                    </w:r>
                    <w:r>
                      <w:rPr>
                        <w:rFonts w:ascii="Arial" w:hAnsi="Arial"/>
                        <w:b/>
                        <w:i/>
                        <w:color w:val="993200"/>
                        <w:sz w:val="20"/>
                      </w:rPr>
                      <w:t>please phone or email Kathleen Jackson (01509 557740 –</w:t>
                    </w:r>
                  </w:p>
                  <w:p>
                    <w:pPr>
                      <w:spacing w:before="0"/>
                      <w:ind w:left="164" w:right="160" w:firstLine="0"/>
                      <w:jc w:val="both"/>
                      <w:rPr>
                        <w:rFonts w:ascii="Arial"/>
                        <w:b/>
                        <w:i/>
                        <w:sz w:val="20"/>
                      </w:rPr>
                    </w:pPr>
                    <w:r>
                      <w:rPr>
                        <w:rFonts w:ascii="Arial"/>
                        <w:b/>
                        <w:i/>
                        <w:color w:val="993200"/>
                        <w:sz w:val="20"/>
                        <w:u w:val="thick" w:color="993200"/>
                      </w:rPr>
                      <w:t>derkat.46@ntlworld.com</w:t>
                    </w:r>
                    <w:r>
                      <w:rPr>
                        <w:rFonts w:ascii="Arial"/>
                        <w:b/>
                        <w:i/>
                        <w:color w:val="993200"/>
                        <w:sz w:val="20"/>
                      </w:rPr>
                      <w:t>.) by June 25 to let </w:t>
                    </w:r>
                    <w:r>
                      <w:rPr>
                        <w:rFonts w:ascii="Arial"/>
                        <w:b/>
                        <w:i/>
                        <w:color w:val="993200"/>
                        <w:sz w:val="20"/>
                      </w:rPr>
                      <w:t>her know you are coming.</w:t>
                    </w:r>
                  </w:p>
                </w:txbxContent>
              </v:textbox>
              <v:fill type="solid"/>
              <w10:wrap type="none"/>
            </v:shape>
            <w10:wrap type="topAndBottom"/>
          </v:group>
        </w:pict>
      </w:r>
    </w:p>
    <w:p>
      <w:pPr>
        <w:pStyle w:val="BodyText"/>
        <w:spacing w:before="128"/>
        <w:ind w:left="816" w:right="519"/>
        <w:jc w:val="both"/>
      </w:pPr>
      <w:r>
        <w:rPr/>
        <w:t>project we support in Bangladesh at one time or another, are elected annually at the Annual General Meeting.</w:t>
      </w:r>
    </w:p>
    <w:p>
      <w:pPr>
        <w:pStyle w:val="BodyText"/>
        <w:spacing w:before="6"/>
      </w:pPr>
    </w:p>
    <w:p>
      <w:pPr>
        <w:pStyle w:val="Heading3"/>
        <w:spacing w:line="250" w:lineRule="exact"/>
        <w:ind w:left="816"/>
      </w:pPr>
      <w:r>
        <w:rPr>
          <w:color w:val="993200"/>
        </w:rPr>
        <w:t>Review of the year</w:t>
      </w:r>
    </w:p>
    <w:p>
      <w:pPr>
        <w:pStyle w:val="BodyText"/>
        <w:ind w:left="816" w:right="518"/>
        <w:jc w:val="both"/>
      </w:pPr>
      <w:r>
        <w:rPr/>
        <w:t>The slide in the value of the pound this year has meant that the money we send to KYAG brings them fewer taka. As a result Trustees sent an additional £3,000 during the year (over and above the £48,000 pledged) and Chair of Trustees Mike Sherriff and fellow Trustee Phil Watson spent a considerable time with the KYAG committee looking at ways in which they could trim their expenditure without damaging the project. The area has changed considerably since the early days of the project. Young people now have mobile phones and use the internet and many more older women are</w:t>
      </w:r>
    </w:p>
    <w:p>
      <w:pPr>
        <w:pStyle w:val="BodyText"/>
        <w:spacing w:before="9"/>
        <w:rPr>
          <w:sz w:val="21"/>
        </w:rPr>
      </w:pPr>
    </w:p>
    <w:p>
      <w:pPr>
        <w:spacing w:before="0"/>
        <w:ind w:left="3396" w:right="0" w:firstLine="0"/>
        <w:jc w:val="left"/>
        <w:rPr>
          <w:i/>
          <w:sz w:val="22"/>
        </w:rPr>
      </w:pPr>
      <w:r>
        <w:rPr>
          <w:i/>
          <w:sz w:val="22"/>
        </w:rPr>
        <w:t>Continued on page 2</w:t>
      </w:r>
    </w:p>
    <w:p>
      <w:pPr>
        <w:spacing w:after="0"/>
        <w:jc w:val="left"/>
        <w:rPr>
          <w:sz w:val="22"/>
        </w:rPr>
        <w:sectPr>
          <w:type w:val="continuous"/>
          <w:pgSz w:w="11900" w:h="16840"/>
          <w:pgMar w:top="1160" w:bottom="280" w:left="700" w:right="580"/>
          <w:cols w:num="2" w:equalWidth="0">
            <w:col w:w="4998" w:space="40"/>
            <w:col w:w="5582"/>
          </w:cols>
        </w:sectPr>
      </w:pPr>
    </w:p>
    <w:p>
      <w:pPr>
        <w:spacing w:before="36"/>
        <w:ind w:left="672" w:right="0" w:firstLine="0"/>
        <w:jc w:val="both"/>
        <w:rPr>
          <w:i/>
          <w:sz w:val="22"/>
        </w:rPr>
      </w:pPr>
      <w:r>
        <w:rPr>
          <w:i/>
          <w:sz w:val="22"/>
        </w:rPr>
        <w:t>Continued from page 1</w:t>
      </w:r>
    </w:p>
    <w:p>
      <w:pPr>
        <w:pStyle w:val="BodyText"/>
        <w:spacing w:before="3"/>
        <w:rPr>
          <w:i/>
          <w:sz w:val="27"/>
        </w:rPr>
      </w:pPr>
    </w:p>
    <w:p>
      <w:pPr>
        <w:pStyle w:val="BodyText"/>
        <w:ind w:left="684" w:hanging="1"/>
        <w:jc w:val="both"/>
      </w:pPr>
      <w:r>
        <w:rPr/>
        <w:t>able to read and write</w:t>
      </w:r>
      <w:r>
        <w:rPr>
          <w:b/>
        </w:rPr>
        <w:t>. </w:t>
      </w:r>
      <w:r>
        <w:rPr/>
        <w:t>As a result it was  agreed to close the adult literacy classes and reduce the amount spent on welfare. More work is now being done with parents of children attending the schools and parents’ meetings have been</w:t>
      </w:r>
      <w:r>
        <w:rPr>
          <w:spacing w:val="-1"/>
        </w:rPr>
        <w:t> </w:t>
      </w:r>
      <w:r>
        <w:rPr/>
        <w:t>established.</w:t>
      </w:r>
    </w:p>
    <w:p>
      <w:pPr>
        <w:pStyle w:val="BodyText"/>
      </w:pPr>
    </w:p>
    <w:p>
      <w:pPr>
        <w:pStyle w:val="BodyText"/>
        <w:ind w:left="684"/>
        <w:jc w:val="both"/>
      </w:pPr>
      <w:r>
        <w:rPr/>
        <w:t>Mike Sherriff had an extended stay in Sylhet during the year and while there he was able to assist the KYAG committee to organise their first significant local fundraising event in Sylhet. He was joined by fellow Trustees Kathleen Jackson and Kazi Mashud, who were both on private visits to Sylhet, at a well- attended fundraising meal, which raised £77. Trustees are encouraged by this indication that the KYAG committee recognises the importance of local</w:t>
      </w:r>
      <w:r>
        <w:rPr>
          <w:spacing w:val="-5"/>
        </w:rPr>
        <w:t> </w:t>
      </w:r>
      <w:r>
        <w:rPr/>
        <w:t>fundraising.</w:t>
      </w:r>
    </w:p>
    <w:p>
      <w:pPr>
        <w:pStyle w:val="BodyText"/>
        <w:spacing w:before="9"/>
        <w:rPr>
          <w:sz w:val="21"/>
        </w:rPr>
      </w:pPr>
    </w:p>
    <w:p>
      <w:pPr>
        <w:pStyle w:val="BodyText"/>
        <w:spacing w:before="1"/>
        <w:ind w:left="684"/>
        <w:jc w:val="both"/>
      </w:pPr>
      <w:r>
        <w:rPr/>
        <w:t>The London-Paris cycle ride proved a wonderfully successful fundraiser for Friends of Khasdobir, thanks to the efforts of the ten intrepid cyclists both in riding and in gaining sponsorship</w:t>
      </w:r>
      <w:r>
        <w:rPr>
          <w:color w:val="FF0000"/>
        </w:rPr>
        <w:t>. </w:t>
      </w:r>
      <w:r>
        <w:rPr/>
        <w:t>Although the Gift Aid repayment on donations received through MyDonate is included in this year’s accounts there is a further £1,600 due on donations paid direct to Friends of Khasdobir which will be included in next year’s claim. The total received from this venture was just over</w:t>
      </w:r>
      <w:r>
        <w:rPr>
          <w:spacing w:val="-4"/>
        </w:rPr>
        <w:t> </w:t>
      </w:r>
      <w:r>
        <w:rPr/>
        <w:t>£16,500</w:t>
      </w:r>
      <w:r>
        <w:rPr>
          <w:color w:val="FF0000"/>
        </w:rPr>
        <w:t>.</w:t>
      </w:r>
    </w:p>
    <w:p>
      <w:pPr>
        <w:pStyle w:val="BodyText"/>
      </w:pPr>
    </w:p>
    <w:p>
      <w:pPr>
        <w:pStyle w:val="BodyText"/>
        <w:ind w:left="684"/>
        <w:jc w:val="both"/>
      </w:pPr>
      <w:r>
        <w:rPr/>
        <w:t>Although the exchange rate was unfavourable we benefited from the rise in the stock market during the year and so, despite a deficit on the year’s working of £1,800, we saw a substantial rise in the value of the charity’s assets, which Trustees treat as an endowment fund producing an income for them to spend each year. This year’s income from investments was a little over £7,000.</w:t>
      </w:r>
    </w:p>
    <w:p>
      <w:pPr>
        <w:pStyle w:val="BodyText"/>
        <w:spacing w:before="11"/>
        <w:rPr>
          <w:sz w:val="21"/>
        </w:rPr>
      </w:pPr>
    </w:p>
    <w:p>
      <w:pPr>
        <w:pStyle w:val="BodyText"/>
        <w:ind w:left="684" w:right="1"/>
        <w:jc w:val="both"/>
      </w:pPr>
      <w:r>
        <w:rPr/>
        <w:t>The donations received from groups were  down to a little over £500, accelerating the trend of recent years but the total received from individuals showed a very encouraging increase. KYAG remains a very remarkable project, serving some of the poorest people in Bangladesh and we are deeply grateful to all our donors who make it possible for us to continue to support KYAG’s</w:t>
      </w:r>
      <w:r>
        <w:rPr>
          <w:spacing w:val="-8"/>
        </w:rPr>
        <w:t> </w:t>
      </w:r>
      <w:r>
        <w:rPr/>
        <w:t>work.</w:t>
      </w:r>
    </w:p>
    <w:p>
      <w:pPr>
        <w:pStyle w:val="BodyText"/>
        <w:spacing w:before="5"/>
      </w:pPr>
    </w:p>
    <w:p>
      <w:pPr>
        <w:pStyle w:val="Heading3"/>
        <w:ind w:left="684"/>
      </w:pPr>
      <w:r>
        <w:rPr>
          <w:color w:val="993200"/>
        </w:rPr>
        <w:t>Risk Assessment</w:t>
      </w:r>
    </w:p>
    <w:p>
      <w:pPr>
        <w:pStyle w:val="BodyText"/>
        <w:ind w:left="684"/>
        <w:jc w:val="both"/>
      </w:pPr>
      <w:r>
        <w:rPr/>
        <w:t>The Trustees have considered the risks to which</w:t>
      </w:r>
      <w:r>
        <w:rPr>
          <w:spacing w:val="25"/>
        </w:rPr>
        <w:t> </w:t>
      </w:r>
      <w:r>
        <w:rPr/>
        <w:t>they</w:t>
      </w:r>
      <w:r>
        <w:rPr>
          <w:spacing w:val="24"/>
        </w:rPr>
        <w:t> </w:t>
      </w:r>
      <w:r>
        <w:rPr/>
        <w:t>may</w:t>
      </w:r>
      <w:r>
        <w:rPr>
          <w:spacing w:val="24"/>
        </w:rPr>
        <w:t> </w:t>
      </w:r>
      <w:r>
        <w:rPr/>
        <w:t>be</w:t>
      </w:r>
      <w:r>
        <w:rPr>
          <w:spacing w:val="27"/>
        </w:rPr>
        <w:t> </w:t>
      </w:r>
      <w:r>
        <w:rPr/>
        <w:t>exposed</w:t>
      </w:r>
      <w:r>
        <w:rPr>
          <w:spacing w:val="25"/>
        </w:rPr>
        <w:t> </w:t>
      </w:r>
      <w:r>
        <w:rPr/>
        <w:t>and</w:t>
      </w:r>
      <w:r>
        <w:rPr>
          <w:spacing w:val="26"/>
        </w:rPr>
        <w:t> </w:t>
      </w:r>
      <w:r>
        <w:rPr/>
        <w:t>have</w:t>
      </w:r>
      <w:r>
        <w:rPr>
          <w:spacing w:val="27"/>
        </w:rPr>
        <w:t> </w:t>
      </w:r>
      <w:r>
        <w:rPr/>
        <w:t>policies</w:t>
      </w:r>
    </w:p>
    <w:p>
      <w:pPr>
        <w:spacing w:before="206"/>
        <w:ind w:left="672" w:right="695" w:firstLine="0"/>
        <w:jc w:val="both"/>
        <w:rPr>
          <w:rFonts w:ascii="Arial Black"/>
          <w:sz w:val="20"/>
        </w:rPr>
      </w:pPr>
      <w:r>
        <w:rPr/>
        <w:br w:type="column"/>
      </w:r>
      <w:r>
        <w:rPr>
          <w:rFonts w:ascii="Arial Black"/>
          <w:color w:val="993200"/>
          <w:sz w:val="20"/>
        </w:rPr>
        <w:t>Trustees Moyra Blake and Sue Simmons visit KYAG</w:t>
      </w:r>
    </w:p>
    <w:p>
      <w:pPr>
        <w:spacing w:before="229"/>
        <w:ind w:left="672" w:right="690" w:firstLine="0"/>
        <w:jc w:val="both"/>
        <w:rPr>
          <w:rFonts w:ascii="Arial"/>
          <w:sz w:val="20"/>
        </w:rPr>
      </w:pPr>
      <w:r>
        <w:rPr/>
        <w:pict>
          <v:line style="position:absolute;mso-position-horizontal-relative:page;mso-position-vertical-relative:paragraph;z-index:251663360" from="297pt,-20.089813pt" to="297pt,500.470175pt" stroked="true" strokeweight="2.25pt" strokecolor="#000000">
            <v:stroke dashstyle="solid"/>
            <w10:wrap type="none"/>
          </v:line>
        </w:pict>
      </w:r>
      <w:r>
        <w:rPr>
          <w:rFonts w:ascii="Arial"/>
          <w:spacing w:val="3"/>
          <w:sz w:val="20"/>
        </w:rPr>
        <w:t>We </w:t>
      </w:r>
      <w:r>
        <w:rPr>
          <w:rFonts w:ascii="Arial"/>
          <w:sz w:val="20"/>
        </w:rPr>
        <w:t>decided to make this an informal visit, paid for by ourselves, so that Sue, as a new trustee, could have a gentle introduction to Bangladesh and the work of KYAG. </w:t>
      </w:r>
      <w:r>
        <w:rPr>
          <w:rFonts w:ascii="Arial"/>
          <w:spacing w:val="5"/>
          <w:sz w:val="20"/>
        </w:rPr>
        <w:t>We </w:t>
      </w:r>
      <w:r>
        <w:rPr>
          <w:rFonts w:ascii="Arial"/>
          <w:sz w:val="20"/>
        </w:rPr>
        <w:t>spent seven days in Sylhet and saw coaching classes and the sewing class, talked to teachers and students, visited several Schools under the Sky, met members of the committee and explored ways of enabling KYAG to cope with a diminishing budget caused by the weakening exchange rate.</w:t>
      </w:r>
    </w:p>
    <w:p>
      <w:pPr>
        <w:pStyle w:val="BodyText"/>
        <w:rPr>
          <w:rFonts w:ascii="Arial"/>
          <w:sz w:val="20"/>
        </w:rPr>
      </w:pPr>
    </w:p>
    <w:p>
      <w:pPr>
        <w:spacing w:before="0"/>
        <w:ind w:left="672" w:right="690" w:firstLine="0"/>
        <w:jc w:val="both"/>
        <w:rPr>
          <w:rFonts w:ascii="Arial"/>
          <w:sz w:val="20"/>
        </w:rPr>
      </w:pPr>
      <w:r>
        <w:rPr>
          <w:rFonts w:ascii="Arial"/>
          <w:sz w:val="20"/>
        </w:rPr>
        <w:t>Every year on February 21, Bangladesh celebrates the day in 1952 when Bangladeshis fought to have their language, Bangla, recognised as the language of the country. Five people died during the struggle. KYAG wanted to celebrate this special day, so a group of staff, teachers and children carried a banner through the town to the Shahid Minar, the monument erected in many towns to commemorate the day and honour the martyrs. The children came without their parents and all behaved impeccably. Despite being very young they understood this was an important occasion. </w:t>
      </w:r>
      <w:r>
        <w:rPr>
          <w:rFonts w:ascii="Arial"/>
          <w:spacing w:val="4"/>
          <w:sz w:val="20"/>
        </w:rPr>
        <w:t>We </w:t>
      </w:r>
      <w:r>
        <w:rPr>
          <w:rFonts w:ascii="Arial"/>
          <w:sz w:val="20"/>
        </w:rPr>
        <w:t>were interviewed by several radio and TV stations keen to know what foreign visitors thought about the</w:t>
      </w:r>
      <w:r>
        <w:rPr>
          <w:rFonts w:ascii="Arial"/>
          <w:spacing w:val="-3"/>
          <w:sz w:val="20"/>
        </w:rPr>
        <w:t> </w:t>
      </w:r>
      <w:r>
        <w:rPr>
          <w:rFonts w:ascii="Arial"/>
          <w:sz w:val="20"/>
        </w:rPr>
        <w:t>celebrations.</w:t>
      </w:r>
    </w:p>
    <w:p>
      <w:pPr>
        <w:pStyle w:val="BodyText"/>
        <w:spacing w:before="4"/>
        <w:rPr>
          <w:rFonts w:ascii="Arial"/>
          <w:sz w:val="13"/>
        </w:rPr>
      </w:pPr>
      <w:r>
        <w:rPr/>
        <w:drawing>
          <wp:anchor distT="0" distB="0" distL="0" distR="0" allowOverlap="1" layoutInCell="1" locked="0" behindDoc="0" simplePos="0" relativeHeight="3">
            <wp:simplePos x="0" y="0"/>
            <wp:positionH relativeFrom="page">
              <wp:posOffset>4034028</wp:posOffset>
            </wp:positionH>
            <wp:positionV relativeFrom="paragraph">
              <wp:posOffset>122349</wp:posOffset>
            </wp:positionV>
            <wp:extent cx="2701590" cy="1517903"/>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701590" cy="1517903"/>
                    </a:xfrm>
                    <a:prstGeom prst="rect">
                      <a:avLst/>
                    </a:prstGeom>
                  </pic:spPr>
                </pic:pic>
              </a:graphicData>
            </a:graphic>
          </wp:anchor>
        </w:drawing>
      </w:r>
    </w:p>
    <w:p>
      <w:pPr>
        <w:spacing w:before="145"/>
        <w:ind w:left="672" w:right="692" w:firstLine="0"/>
        <w:jc w:val="both"/>
        <w:rPr>
          <w:rFonts w:ascii="Arial" w:hAnsi="Arial"/>
          <w:i/>
          <w:sz w:val="20"/>
        </w:rPr>
      </w:pPr>
      <w:r>
        <w:rPr>
          <w:rFonts w:ascii="Arial" w:hAnsi="Arial"/>
          <w:i/>
          <w:sz w:val="20"/>
        </w:rPr>
        <w:t>L to r Sue Simmons, Mike Sherriff and Moyra </w:t>
      </w:r>
      <w:r>
        <w:rPr>
          <w:rFonts w:ascii="Arial" w:hAnsi="Arial"/>
          <w:i/>
          <w:sz w:val="20"/>
        </w:rPr>
        <w:t>Blake with children holding KYAG’s banner</w:t>
      </w:r>
    </w:p>
    <w:p>
      <w:pPr>
        <w:pStyle w:val="BodyText"/>
        <w:spacing w:before="11"/>
        <w:rPr>
          <w:rFonts w:ascii="Arial"/>
          <w:i/>
          <w:sz w:val="7"/>
        </w:rPr>
      </w:pPr>
    </w:p>
    <w:p>
      <w:pPr>
        <w:pStyle w:val="BodyText"/>
        <w:spacing w:line="46" w:lineRule="exact"/>
        <w:ind w:left="556"/>
        <w:rPr>
          <w:rFonts w:ascii="Arial"/>
          <w:sz w:val="4"/>
        </w:rPr>
      </w:pPr>
      <w:r>
        <w:rPr>
          <w:rFonts w:ascii="Arial"/>
          <w:position w:val="0"/>
          <w:sz w:val="4"/>
        </w:rPr>
        <w:pict>
          <v:group style="width:220.6pt;height:2.25pt;mso-position-horizontal-relative:char;mso-position-vertical-relative:line" coordorigin="0,0" coordsize="4412,45">
            <v:line style="position:absolute" from="0,22" to="4411,22" stroked="true" strokeweight="2.25pt" strokecolor="#000000">
              <v:stroke dashstyle="solid"/>
            </v:line>
          </v:group>
        </w:pict>
      </w:r>
      <w:r>
        <w:rPr>
          <w:rFonts w:ascii="Arial"/>
          <w:position w:val="0"/>
          <w:sz w:val="4"/>
        </w:rPr>
      </w:r>
    </w:p>
    <w:p>
      <w:pPr>
        <w:pStyle w:val="BodyText"/>
        <w:spacing w:before="5"/>
        <w:rPr>
          <w:rFonts w:ascii="Arial"/>
          <w:i/>
          <w:sz w:val="16"/>
        </w:rPr>
      </w:pPr>
    </w:p>
    <w:p>
      <w:pPr>
        <w:pStyle w:val="BodyText"/>
        <w:ind w:left="742"/>
        <w:jc w:val="both"/>
      </w:pPr>
      <w:r>
        <w:rPr/>
        <w:t>in place to manage these to an acceptable level.</w:t>
      </w:r>
    </w:p>
    <w:p>
      <w:pPr>
        <w:pStyle w:val="BodyText"/>
        <w:spacing w:before="3"/>
      </w:pPr>
    </w:p>
    <w:p>
      <w:pPr>
        <w:pStyle w:val="Heading3"/>
        <w:ind w:left="742"/>
      </w:pPr>
      <w:r>
        <w:rPr>
          <w:color w:val="993200"/>
        </w:rPr>
        <w:t>Public Benefit</w:t>
      </w:r>
    </w:p>
    <w:p>
      <w:pPr>
        <w:pStyle w:val="BodyText"/>
        <w:ind w:left="742" w:right="530"/>
        <w:jc w:val="both"/>
      </w:pPr>
      <w:r>
        <w:rPr/>
        <w:t>The Trustees confirm that due regard has been given to the Charity Commissioners’  guidance on public benefit issued in February 2014. The work of KYAG in Bangladesh, which they support, assists the very poorest people in that area without charge. Through the newsletter sent to donors and through the fundraising meals Friends of Khasdobir educates citizens of the UK about the problems faced by poor people in Bangladesh. The Trustees are confident that they provide public</w:t>
      </w:r>
      <w:r>
        <w:rPr>
          <w:spacing w:val="-1"/>
        </w:rPr>
        <w:t> </w:t>
      </w:r>
      <w:r>
        <w:rPr/>
        <w:t>benefit.</w:t>
      </w:r>
    </w:p>
    <w:p>
      <w:pPr>
        <w:spacing w:after="0"/>
        <w:jc w:val="both"/>
        <w:sectPr>
          <w:footerReference w:type="default" r:id="rId7"/>
          <w:pgSz w:w="11900" w:h="16840"/>
          <w:pgMar w:footer="752" w:header="0" w:top="980" w:bottom="940" w:left="700" w:right="580"/>
          <w:pgNumType w:start="2"/>
          <w:cols w:num="2" w:equalWidth="0">
            <w:col w:w="4902" w:space="68"/>
            <w:col w:w="5650"/>
          </w:cols>
        </w:sectPr>
      </w:pPr>
    </w:p>
    <w:p>
      <w:pPr>
        <w:pStyle w:val="BodyText"/>
        <w:spacing w:before="5" w:after="1"/>
        <w:rPr>
          <w:sz w:val="18"/>
        </w:rPr>
      </w:pPr>
    </w:p>
    <w:p>
      <w:pPr>
        <w:pStyle w:val="BodyText"/>
        <w:ind w:left="783" w:right="-15"/>
        <w:rPr>
          <w:sz w:val="20"/>
        </w:rPr>
      </w:pPr>
      <w:r>
        <w:rPr>
          <w:sz w:val="20"/>
        </w:rPr>
        <w:drawing>
          <wp:inline distT="0" distB="0" distL="0" distR="0">
            <wp:extent cx="3043688" cy="17185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3043688" cy="1718500"/>
                    </a:xfrm>
                    <a:prstGeom prst="rect">
                      <a:avLst/>
                    </a:prstGeom>
                  </pic:spPr>
                </pic:pic>
              </a:graphicData>
            </a:graphic>
          </wp:inline>
        </w:drawing>
      </w:r>
      <w:r>
        <w:rPr>
          <w:sz w:val="20"/>
        </w:rPr>
      </w:r>
    </w:p>
    <w:p>
      <w:pPr>
        <w:pStyle w:val="BodyText"/>
        <w:spacing w:before="2"/>
        <w:rPr>
          <w:sz w:val="25"/>
        </w:rPr>
      </w:pPr>
    </w:p>
    <w:p>
      <w:pPr>
        <w:spacing w:before="0"/>
        <w:ind w:left="783" w:right="196" w:firstLine="0"/>
        <w:jc w:val="left"/>
        <w:rPr>
          <w:rFonts w:ascii="Arial"/>
          <w:i/>
          <w:sz w:val="20"/>
        </w:rPr>
      </w:pPr>
      <w:r>
        <w:rPr>
          <w:rFonts w:ascii="Arial"/>
          <w:i/>
          <w:sz w:val="20"/>
        </w:rPr>
        <w:t>Sue Simmons embarks on her first-ever rickshaw </w:t>
      </w:r>
      <w:r>
        <w:rPr>
          <w:rFonts w:ascii="Arial"/>
          <w:i/>
          <w:sz w:val="20"/>
        </w:rPr>
        <w:t>ride accompanied by Chair of Trustees Mike Sherriff</w:t>
      </w:r>
    </w:p>
    <w:p>
      <w:pPr>
        <w:pStyle w:val="BodyText"/>
        <w:spacing w:before="11"/>
        <w:rPr>
          <w:rFonts w:ascii="Arial"/>
          <w:i/>
          <w:sz w:val="25"/>
        </w:rPr>
      </w:pPr>
    </w:p>
    <w:p>
      <w:pPr>
        <w:pStyle w:val="BodyText"/>
        <w:ind w:left="577" w:right="-87"/>
        <w:rPr>
          <w:rFonts w:ascii="Arial"/>
          <w:sz w:val="20"/>
        </w:rPr>
      </w:pPr>
      <w:r>
        <w:rPr>
          <w:rFonts w:ascii="Arial"/>
          <w:sz w:val="20"/>
        </w:rPr>
        <w:pict>
          <v:group style="width:252pt;height:68.1pt;mso-position-horizontal-relative:char;mso-position-vertical-relative:line" coordorigin="0,0" coordsize="5040,1362">
            <v:line style="position:absolute" from="0,1352" to="5040,1352" stroked="true" strokeweight="1.0pt" strokecolor="#983200">
              <v:stroke dashstyle="solid"/>
            </v:line>
            <v:line style="position:absolute" from="11,22" to="11,1342" stroked="true" strokeweight="1.08pt" strokecolor="#983200">
              <v:stroke dashstyle="solid"/>
            </v:line>
            <v:line style="position:absolute" from="0,11" to="5040,11" stroked="true" strokeweight="1.1pt" strokecolor="#983200">
              <v:stroke dashstyle="solid"/>
            </v:line>
            <v:line style="position:absolute" from="5030,22" to="5030,1342" stroked="true" strokeweight=".96pt" strokecolor="#983200">
              <v:stroke dashstyle="solid"/>
            </v:line>
            <v:rect style="position:absolute;left:40;top:1302;width:4961;height:18" filled="true" fillcolor="#983200" stroked="false">
              <v:fill type="solid"/>
            </v:rect>
            <v:line style="position:absolute" from="50,60" to="50,1302" stroked="true" strokeweight=".96pt" strokecolor="#983200">
              <v:stroke dashstyle="solid"/>
            </v:line>
            <v:rect style="position:absolute;left:40;top:42;width:4961;height:18" filled="true" fillcolor="#983200" stroked="false">
              <v:fill type="solid"/>
            </v:rect>
            <v:line style="position:absolute" from="4991,61" to="4991,1302" stroked="true" strokeweight="1.08pt" strokecolor="#983200">
              <v:stroke dashstyle="solid"/>
            </v:line>
            <v:shape style="position:absolute;left:40;top:41;width:4959;height:1281" type="#_x0000_t202" filled="true" fillcolor="#ccffcc" stroked="false">
              <v:textbox inset="0,0,0,0">
                <w:txbxContent>
                  <w:p>
                    <w:pPr>
                      <w:spacing w:before="94"/>
                      <w:ind w:left="163" w:right="0" w:firstLine="0"/>
                      <w:jc w:val="left"/>
                      <w:rPr>
                        <w:rFonts w:ascii="Arial Black"/>
                        <w:sz w:val="24"/>
                      </w:rPr>
                    </w:pPr>
                    <w:r>
                      <w:rPr>
                        <w:rFonts w:ascii="Arial Black"/>
                        <w:color w:val="993200"/>
                        <w:sz w:val="24"/>
                      </w:rPr>
                      <w:t>For more news and pictures do please visit our website:</w:t>
                    </w:r>
                  </w:p>
                  <w:p>
                    <w:pPr>
                      <w:spacing w:line="394" w:lineRule="exact" w:before="0"/>
                      <w:ind w:left="751" w:right="0" w:firstLine="0"/>
                      <w:jc w:val="left"/>
                      <w:rPr>
                        <w:rFonts w:ascii="Arial Black"/>
                        <w:sz w:val="28"/>
                      </w:rPr>
                    </w:pPr>
                    <w:hyperlink r:id="rId6">
                      <w:r>
                        <w:rPr>
                          <w:rFonts w:ascii="Arial Black"/>
                          <w:color w:val="993200"/>
                          <w:sz w:val="28"/>
                        </w:rPr>
                        <w:t>www.khasdobir.org.uk</w:t>
                      </w:r>
                    </w:hyperlink>
                  </w:p>
                </w:txbxContent>
              </v:textbox>
              <v:fill type="solid"/>
              <w10:wrap type="none"/>
            </v:shape>
          </v:group>
        </w:pict>
      </w:r>
      <w:r>
        <w:rPr>
          <w:rFonts w:ascii="Arial"/>
          <w:sz w:val="20"/>
        </w:rPr>
      </w:r>
    </w:p>
    <w:p>
      <w:pPr>
        <w:spacing w:before="87"/>
        <w:ind w:left="607" w:right="246" w:firstLine="0"/>
        <w:jc w:val="center"/>
        <w:rPr>
          <w:rFonts w:ascii="Arial Black"/>
          <w:sz w:val="28"/>
        </w:rPr>
      </w:pPr>
      <w:r>
        <w:rPr/>
        <w:br w:type="column"/>
      </w:r>
      <w:r>
        <w:rPr>
          <w:rFonts w:ascii="Arial Black"/>
          <w:color w:val="993200"/>
          <w:sz w:val="28"/>
        </w:rPr>
        <w:t>Come and Explore Chelsea Saturday September 2 Check-in from 10.30 am</w:t>
      </w:r>
    </w:p>
    <w:p>
      <w:pPr>
        <w:spacing w:before="227"/>
        <w:ind w:left="552" w:right="188" w:firstLine="0"/>
        <w:jc w:val="both"/>
        <w:rPr>
          <w:rFonts w:ascii="Arial"/>
          <w:sz w:val="20"/>
        </w:rPr>
      </w:pPr>
      <w:r>
        <w:rPr/>
        <w:pict>
          <v:line style="position:absolute;mso-position-horizontal-relative:page;mso-position-vertical-relative:paragraph;z-index:251667456" from="327.959991pt,-54.149773pt" to="327.959991pt,203.850222pt" stroked="true" strokeweight="2.25pt" strokecolor="#000000">
            <v:stroke dashstyle="solid"/>
            <w10:wrap type="none"/>
          </v:line>
        </w:pict>
      </w:r>
      <w:r>
        <w:rPr>
          <w:rFonts w:ascii="Arial"/>
          <w:sz w:val="20"/>
        </w:rPr>
        <w:t>The area to be explored this year is Chelsea. It has a rich history and has been home to many poets, painters and pensioners as well as Winnie-The-Pooh, assorted royal mistresses and Sir Thomas More. The full course is 5 miles, and the short course about 3.5.</w:t>
      </w:r>
    </w:p>
    <w:p>
      <w:pPr>
        <w:pStyle w:val="BodyText"/>
        <w:rPr>
          <w:rFonts w:ascii="Arial"/>
          <w:sz w:val="20"/>
        </w:rPr>
      </w:pPr>
    </w:p>
    <w:p>
      <w:pPr>
        <w:spacing w:before="0"/>
        <w:ind w:left="552" w:right="193" w:firstLine="0"/>
        <w:jc w:val="both"/>
        <w:rPr>
          <w:rFonts w:ascii="Arial" w:hAnsi="Arial"/>
          <w:sz w:val="20"/>
        </w:rPr>
      </w:pPr>
      <w:r>
        <w:rPr>
          <w:rFonts w:ascii="Arial" w:hAnsi="Arial"/>
          <w:sz w:val="20"/>
        </w:rPr>
        <w:t>Entry is free for those sponsored for Friends of Khasdobir. Otherwise pay £7, receive the booklet about the route and walk for fun.</w:t>
      </w:r>
    </w:p>
    <w:p>
      <w:pPr>
        <w:pStyle w:val="BodyText"/>
        <w:rPr>
          <w:rFonts w:ascii="Arial"/>
          <w:sz w:val="20"/>
        </w:rPr>
      </w:pPr>
    </w:p>
    <w:p>
      <w:pPr>
        <w:tabs>
          <w:tab w:pos="1272" w:val="left" w:leader="none"/>
          <w:tab w:pos="2472" w:val="left" w:leader="none"/>
          <w:tab w:pos="2976" w:val="left" w:leader="none"/>
          <w:tab w:pos="4056" w:val="left" w:leader="none"/>
        </w:tabs>
        <w:spacing w:before="0"/>
        <w:ind w:left="552" w:right="187" w:firstLine="0"/>
        <w:jc w:val="left"/>
        <w:rPr>
          <w:rFonts w:ascii="Arial"/>
          <w:b/>
          <w:sz w:val="24"/>
        </w:rPr>
      </w:pPr>
      <w:r>
        <w:rPr>
          <w:rFonts w:ascii="Arial"/>
          <w:sz w:val="20"/>
        </w:rPr>
        <w:t>To register your interest in the Walk and receive further details nearer the time contact: </w:t>
      </w:r>
      <w:r>
        <w:rPr>
          <w:rFonts w:ascii="Arial"/>
          <w:b/>
          <w:color w:val="993200"/>
          <w:sz w:val="24"/>
        </w:rPr>
        <w:t>Jeni</w:t>
        <w:tab/>
        <w:t>Gosling,</w:t>
        <w:tab/>
        <w:t>29</w:t>
        <w:tab/>
        <w:t>Westell</w:t>
        <w:tab/>
      </w:r>
      <w:r>
        <w:rPr>
          <w:rFonts w:ascii="Arial"/>
          <w:b/>
          <w:color w:val="993200"/>
          <w:spacing w:val="-3"/>
          <w:sz w:val="24"/>
        </w:rPr>
        <w:t>Close, </w:t>
      </w:r>
      <w:r>
        <w:rPr>
          <w:rFonts w:ascii="Arial"/>
          <w:b/>
          <w:color w:val="993200"/>
          <w:sz w:val="24"/>
        </w:rPr>
        <w:t>Baldock, SG7</w:t>
      </w:r>
      <w:r>
        <w:rPr>
          <w:rFonts w:ascii="Arial"/>
          <w:b/>
          <w:color w:val="993200"/>
          <w:spacing w:val="-4"/>
          <w:sz w:val="24"/>
        </w:rPr>
        <w:t> </w:t>
      </w:r>
      <w:r>
        <w:rPr>
          <w:rFonts w:ascii="Arial"/>
          <w:b/>
          <w:color w:val="993200"/>
          <w:sz w:val="24"/>
        </w:rPr>
        <w:t>6RY.</w:t>
      </w:r>
    </w:p>
    <w:p>
      <w:pPr>
        <w:pStyle w:val="Heading1"/>
      </w:pPr>
      <w:r>
        <w:rPr>
          <w:color w:val="993200"/>
        </w:rPr>
        <w:t>Email: </w:t>
      </w:r>
      <w:hyperlink r:id="rId10">
        <w:r>
          <w:rPr>
            <w:color w:val="993200"/>
            <w:u w:val="thick" w:color="993200"/>
          </w:rPr>
          <w:t>j.gosling@btinternet.com</w:t>
        </w:r>
        <w:r>
          <w:rPr>
            <w:color w:val="993200"/>
          </w:rPr>
          <w:t>.</w:t>
        </w:r>
      </w:hyperlink>
    </w:p>
    <w:p>
      <w:pPr>
        <w:spacing w:after="0"/>
        <w:sectPr>
          <w:pgSz w:w="11900" w:h="16840"/>
          <w:pgMar w:header="0" w:footer="752" w:top="800" w:bottom="940" w:left="700" w:right="580"/>
          <w:cols w:num="2" w:equalWidth="0">
            <w:col w:w="5612" w:space="40"/>
            <w:col w:w="4968"/>
          </w:cols>
        </w:sectPr>
      </w:pPr>
    </w:p>
    <w:p>
      <w:pPr>
        <w:pStyle w:val="BodyText"/>
        <w:spacing w:before="7"/>
        <w:rPr>
          <w:rFonts w:ascii="Arial"/>
          <w:b/>
          <w:sz w:val="25"/>
        </w:rPr>
      </w:pPr>
    </w:p>
    <w:p>
      <w:pPr>
        <w:pStyle w:val="BodyText"/>
        <w:spacing w:line="46" w:lineRule="exact"/>
        <w:ind w:left="517"/>
        <w:rPr>
          <w:rFonts w:ascii="Arial"/>
          <w:sz w:val="4"/>
        </w:rPr>
      </w:pPr>
      <w:r>
        <w:rPr>
          <w:rFonts w:ascii="Arial"/>
          <w:position w:val="0"/>
          <w:sz w:val="4"/>
        </w:rPr>
        <w:pict>
          <v:group style="width:492.5pt;height:2.25pt;mso-position-horizontal-relative:char;mso-position-vertical-relative:line" coordorigin="0,0" coordsize="9850,45">
            <v:line style="position:absolute" from="0,23" to="9850,23" stroked="true" strokeweight="2.25pt" strokecolor="#000000">
              <v:stroke dashstyle="solid"/>
            </v:line>
          </v:group>
        </w:pict>
      </w:r>
      <w:r>
        <w:rPr>
          <w:rFonts w:ascii="Arial"/>
          <w:position w:val="0"/>
          <w:sz w:val="4"/>
        </w:rPr>
      </w:r>
    </w:p>
    <w:p>
      <w:pPr>
        <w:pStyle w:val="BodyText"/>
        <w:spacing w:before="3"/>
        <w:rPr>
          <w:rFonts w:ascii="Arial"/>
          <w:b/>
          <w:sz w:val="14"/>
        </w:rPr>
      </w:pPr>
    </w:p>
    <w:p>
      <w:pPr>
        <w:spacing w:before="60"/>
        <w:ind w:left="1073" w:right="1101" w:firstLine="0"/>
        <w:jc w:val="center"/>
        <w:rPr>
          <w:rFonts w:ascii="Arial" w:hAnsi="Arial"/>
          <w:b/>
          <w:sz w:val="24"/>
        </w:rPr>
      </w:pPr>
      <w:r>
        <w:rPr>
          <w:rFonts w:ascii="Arial" w:hAnsi="Arial"/>
          <w:b/>
          <w:color w:val="993200"/>
          <w:sz w:val="24"/>
        </w:rPr>
        <w:t>Independent Examiner’s Report to the Trustees on the unaudited financial statement of Friends of Khasdobir, Bangladesh (on Page 4)</w:t>
      </w:r>
    </w:p>
    <w:p>
      <w:pPr>
        <w:pStyle w:val="BodyText"/>
        <w:spacing w:before="2"/>
        <w:rPr>
          <w:rFonts w:ascii="Arial"/>
          <w:b/>
          <w:sz w:val="20"/>
        </w:rPr>
      </w:pPr>
    </w:p>
    <w:p>
      <w:pPr>
        <w:spacing w:line="229" w:lineRule="exact" w:before="0"/>
        <w:ind w:left="643" w:right="0" w:firstLine="0"/>
        <w:jc w:val="left"/>
        <w:rPr>
          <w:rFonts w:ascii="Arial"/>
          <w:sz w:val="20"/>
        </w:rPr>
      </w:pPr>
      <w:r>
        <w:rPr>
          <w:rFonts w:ascii="Arial"/>
          <w:sz w:val="20"/>
        </w:rPr>
        <w:t>I report on the accounts of Friends of Khasdobir, Bangladesh, to 31</w:t>
      </w:r>
      <w:r>
        <w:rPr>
          <w:rFonts w:ascii="Arial"/>
          <w:sz w:val="20"/>
          <w:vertAlign w:val="superscript"/>
        </w:rPr>
        <w:t>st</w:t>
      </w:r>
      <w:r>
        <w:rPr>
          <w:rFonts w:ascii="Arial"/>
          <w:sz w:val="20"/>
          <w:vertAlign w:val="baseline"/>
        </w:rPr>
        <w:t> March 2017.</w:t>
      </w:r>
    </w:p>
    <w:p>
      <w:pPr>
        <w:spacing w:line="222" w:lineRule="exact" w:before="0"/>
        <w:ind w:left="643" w:right="0" w:firstLine="0"/>
        <w:jc w:val="left"/>
        <w:rPr>
          <w:rFonts w:ascii="Arial"/>
          <w:b/>
          <w:sz w:val="20"/>
        </w:rPr>
      </w:pPr>
      <w:r>
        <w:rPr>
          <w:rFonts w:ascii="Arial"/>
          <w:b/>
          <w:sz w:val="20"/>
        </w:rPr>
        <w:t>Respective responsibilities of Trustees and Examiner</w:t>
      </w:r>
    </w:p>
    <w:p>
      <w:pPr>
        <w:pStyle w:val="Heading2"/>
        <w:spacing w:line="220" w:lineRule="auto" w:before="11"/>
        <w:ind w:left="643" w:right="703"/>
      </w:pPr>
      <w:r>
        <w:rPr/>
        <w:t>As the charity's trustees you are responsible for the preparation of the accounts, you consider that the audit requirement of section 144(2) of the Charities Act 2011 (the Act) does not apply and that an independent examination is needed. It is my responsibility to examine the accounts under section 145 of the Act, to follow the procedures laid down in the General Directions given by the Charity Commission under section 145(5)(b) of the Act, and to state whether particular matters have come to my attention.</w:t>
      </w:r>
    </w:p>
    <w:p>
      <w:pPr>
        <w:spacing w:line="229" w:lineRule="exact" w:before="2"/>
        <w:ind w:left="643" w:right="0" w:firstLine="0"/>
        <w:jc w:val="left"/>
        <w:rPr>
          <w:rFonts w:ascii="Arial" w:hAnsi="Arial"/>
          <w:b/>
          <w:sz w:val="20"/>
        </w:rPr>
      </w:pPr>
      <w:r>
        <w:rPr>
          <w:rFonts w:ascii="Arial" w:hAnsi="Arial"/>
          <w:b/>
          <w:sz w:val="20"/>
        </w:rPr>
        <w:t>Basis of Independent Examiner’s Statement</w:t>
      </w:r>
    </w:p>
    <w:p>
      <w:pPr>
        <w:pStyle w:val="Heading2"/>
        <w:ind w:left="643" w:right="703"/>
      </w:pPr>
      <w:r>
        <w:rPr/>
        <w:t>My examination was carried out in accordance with the general Directions given by the Charity Commission. An examination includes a review of the accounting records kept by the charity and a comparison of the accounts presented with those records.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w:t>
      </w:r>
    </w:p>
    <w:p>
      <w:pPr>
        <w:spacing w:before="0"/>
        <w:ind w:left="643" w:right="0" w:firstLine="0"/>
        <w:jc w:val="left"/>
        <w:rPr>
          <w:sz w:val="24"/>
        </w:rPr>
      </w:pPr>
      <w:r>
        <w:rPr>
          <w:sz w:val="24"/>
        </w:rPr>
        <w:t>In connection with my examination, no matter has come to my attention:</w:t>
      </w:r>
    </w:p>
    <w:p>
      <w:pPr>
        <w:pStyle w:val="ListParagraph"/>
        <w:numPr>
          <w:ilvl w:val="0"/>
          <w:numId w:val="1"/>
        </w:numPr>
        <w:tabs>
          <w:tab w:pos="1219" w:val="left" w:leader="none"/>
          <w:tab w:pos="1220" w:val="left" w:leader="none"/>
        </w:tabs>
        <w:spacing w:line="240" w:lineRule="auto" w:before="0" w:after="0"/>
        <w:ind w:left="1219" w:right="0" w:hanging="505"/>
        <w:jc w:val="left"/>
        <w:rPr>
          <w:sz w:val="24"/>
        </w:rPr>
      </w:pPr>
      <w:r>
        <w:rPr>
          <w:sz w:val="24"/>
        </w:rPr>
        <w:t>which gives me reasonable cause to believe that in any material respect the</w:t>
      </w:r>
      <w:r>
        <w:rPr>
          <w:spacing w:val="-15"/>
          <w:sz w:val="24"/>
        </w:rPr>
        <w:t> </w:t>
      </w:r>
      <w:r>
        <w:rPr>
          <w:sz w:val="24"/>
        </w:rPr>
        <w:t>requirements:</w:t>
      </w:r>
    </w:p>
    <w:p>
      <w:pPr>
        <w:pStyle w:val="ListParagraph"/>
        <w:numPr>
          <w:ilvl w:val="1"/>
          <w:numId w:val="1"/>
        </w:numPr>
        <w:tabs>
          <w:tab w:pos="1507" w:val="left" w:leader="none"/>
          <w:tab w:pos="1508" w:val="left" w:leader="none"/>
        </w:tabs>
        <w:spacing w:line="240" w:lineRule="auto" w:before="0" w:after="0"/>
        <w:ind w:left="1508" w:right="0" w:hanging="289"/>
        <w:jc w:val="left"/>
        <w:rPr>
          <w:sz w:val="24"/>
        </w:rPr>
      </w:pPr>
      <w:r>
        <w:rPr>
          <w:sz w:val="24"/>
        </w:rPr>
        <w:t>to keep proper accounting records in accordance with section 130 of the Act;</w:t>
      </w:r>
      <w:r>
        <w:rPr>
          <w:spacing w:val="-10"/>
          <w:sz w:val="24"/>
        </w:rPr>
        <w:t> </w:t>
      </w:r>
      <w:r>
        <w:rPr>
          <w:sz w:val="24"/>
        </w:rPr>
        <w:t>and</w:t>
      </w:r>
    </w:p>
    <w:p>
      <w:pPr>
        <w:pStyle w:val="ListParagraph"/>
        <w:numPr>
          <w:ilvl w:val="1"/>
          <w:numId w:val="1"/>
        </w:numPr>
        <w:tabs>
          <w:tab w:pos="1507" w:val="left" w:leader="none"/>
          <w:tab w:pos="1508" w:val="left" w:leader="none"/>
        </w:tabs>
        <w:spacing w:line="240" w:lineRule="auto" w:before="0" w:after="0"/>
        <w:ind w:left="1507" w:right="670" w:hanging="288"/>
        <w:jc w:val="left"/>
        <w:rPr>
          <w:sz w:val="24"/>
        </w:rPr>
      </w:pPr>
      <w:r>
        <w:rPr>
          <w:sz w:val="24"/>
        </w:rPr>
        <w:t>to prepare accounts which accord with the accounting records and to comply with the accounting requirements of the</w:t>
      </w:r>
      <w:r>
        <w:rPr>
          <w:spacing w:val="-4"/>
          <w:sz w:val="24"/>
        </w:rPr>
        <w:t> </w:t>
      </w:r>
      <w:r>
        <w:rPr>
          <w:sz w:val="24"/>
        </w:rPr>
        <w:t>Act</w:t>
      </w:r>
    </w:p>
    <w:p>
      <w:pPr>
        <w:spacing w:before="0"/>
        <w:ind w:left="643" w:right="0" w:firstLine="0"/>
        <w:jc w:val="left"/>
        <w:rPr>
          <w:sz w:val="24"/>
        </w:rPr>
      </w:pPr>
      <w:r>
        <w:rPr>
          <w:sz w:val="24"/>
        </w:rPr>
        <w:t>have not been met; or</w:t>
      </w:r>
    </w:p>
    <w:p>
      <w:pPr>
        <w:pStyle w:val="ListParagraph"/>
        <w:numPr>
          <w:ilvl w:val="0"/>
          <w:numId w:val="1"/>
        </w:numPr>
        <w:tabs>
          <w:tab w:pos="1723" w:val="left" w:leader="none"/>
          <w:tab w:pos="1724" w:val="left" w:leader="none"/>
        </w:tabs>
        <w:spacing w:line="240" w:lineRule="auto" w:before="0" w:after="0"/>
        <w:ind w:left="1723" w:right="673" w:hanging="720"/>
        <w:jc w:val="left"/>
        <w:rPr>
          <w:sz w:val="24"/>
        </w:rPr>
      </w:pPr>
      <w:r>
        <w:rPr>
          <w:sz w:val="24"/>
        </w:rPr>
        <w:t>to which, in </w:t>
      </w:r>
      <w:r>
        <w:rPr>
          <w:spacing w:val="2"/>
          <w:sz w:val="24"/>
        </w:rPr>
        <w:t>my </w:t>
      </w:r>
      <w:r>
        <w:rPr>
          <w:sz w:val="24"/>
        </w:rPr>
        <w:t>opinion, attention should be drawn in order to enable a proper understanding of the accounts to be</w:t>
      </w:r>
      <w:r>
        <w:rPr>
          <w:spacing w:val="-7"/>
          <w:sz w:val="24"/>
        </w:rPr>
        <w:t> </w:t>
      </w:r>
      <w:r>
        <w:rPr>
          <w:sz w:val="24"/>
        </w:rPr>
        <w:t>reached.</w:t>
      </w:r>
    </w:p>
    <w:p>
      <w:pPr>
        <w:pStyle w:val="BodyText"/>
        <w:spacing w:before="10"/>
        <w:rPr>
          <w:sz w:val="23"/>
        </w:rPr>
      </w:pPr>
    </w:p>
    <w:p>
      <w:pPr>
        <w:pStyle w:val="Heading3"/>
        <w:spacing w:line="252" w:lineRule="exact" w:before="1"/>
        <w:ind w:left="1073" w:right="1099"/>
        <w:jc w:val="center"/>
      </w:pPr>
      <w:r>
        <w:rPr/>
        <w:t>ICFS Agar FCA</w:t>
      </w:r>
    </w:p>
    <w:p>
      <w:pPr>
        <w:spacing w:line="252" w:lineRule="exact" w:before="0"/>
        <w:ind w:left="1073" w:right="1101" w:firstLine="0"/>
        <w:jc w:val="center"/>
        <w:rPr>
          <w:b/>
          <w:sz w:val="22"/>
        </w:rPr>
      </w:pPr>
      <w:r>
        <w:rPr>
          <w:b/>
          <w:sz w:val="22"/>
        </w:rPr>
        <w:t>Robert Whowell &amp; Partners</w:t>
      </w:r>
    </w:p>
    <w:p>
      <w:pPr>
        <w:spacing w:before="25"/>
        <w:ind w:left="1072" w:right="1101" w:firstLine="0"/>
        <w:jc w:val="center"/>
        <w:rPr>
          <w:b/>
          <w:sz w:val="22"/>
        </w:rPr>
      </w:pPr>
      <w:r>
        <w:rPr>
          <w:b/>
          <w:sz w:val="22"/>
        </w:rPr>
        <w:t>CHARTERED ACCOUNTANTS AND STATUTORY AUDITORS</w:t>
      </w:r>
    </w:p>
    <w:p>
      <w:pPr>
        <w:spacing w:before="30"/>
        <w:ind w:left="1073" w:right="1100" w:firstLine="0"/>
        <w:jc w:val="center"/>
        <w:rPr>
          <w:i/>
          <w:sz w:val="22"/>
        </w:rPr>
      </w:pPr>
      <w:r>
        <w:rPr>
          <w:i/>
          <w:sz w:val="22"/>
        </w:rPr>
        <w:t>78 Loughborough Road, Quorn, Leicestershire, LE12 8DX</w:t>
      </w:r>
    </w:p>
    <w:p>
      <w:pPr>
        <w:spacing w:after="0"/>
        <w:jc w:val="center"/>
        <w:rPr>
          <w:sz w:val="22"/>
        </w:rPr>
        <w:sectPr>
          <w:type w:val="continuous"/>
          <w:pgSz w:w="11900" w:h="16840"/>
          <w:pgMar w:top="1160" w:bottom="280" w:left="700" w:right="580"/>
        </w:sectPr>
      </w:pPr>
    </w:p>
    <w:tbl>
      <w:tblPr>
        <w:tblW w:w="0" w:type="auto"/>
        <w:jc w:val="left"/>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5"/>
        <w:gridCol w:w="1029"/>
        <w:gridCol w:w="1158"/>
        <w:gridCol w:w="426"/>
        <w:gridCol w:w="1789"/>
      </w:tblGrid>
      <w:tr>
        <w:trPr>
          <w:trHeight w:val="227" w:hRule="atLeast"/>
        </w:trPr>
        <w:tc>
          <w:tcPr>
            <w:tcW w:w="4095" w:type="dxa"/>
          </w:tcPr>
          <w:p>
            <w:pPr>
              <w:pStyle w:val="TableParagraph"/>
              <w:spacing w:line="196" w:lineRule="exact"/>
              <w:ind w:left="50"/>
              <w:rPr>
                <w:b/>
                <w:sz w:val="20"/>
              </w:rPr>
            </w:pPr>
            <w:r>
              <w:rPr>
                <w:b/>
                <w:color w:val="993200"/>
                <w:sz w:val="20"/>
              </w:rPr>
              <w:t>Friends of Khasdobir - Charity 1116316</w:t>
            </w:r>
          </w:p>
        </w:tc>
        <w:tc>
          <w:tcPr>
            <w:tcW w:w="4402" w:type="dxa"/>
            <w:gridSpan w:val="4"/>
            <w:vMerge w:val="restart"/>
          </w:tcPr>
          <w:p>
            <w:pPr>
              <w:pStyle w:val="TableParagraph"/>
              <w:rPr>
                <w:rFonts w:ascii="Times New Roman"/>
                <w:sz w:val="18"/>
              </w:rPr>
            </w:pPr>
          </w:p>
        </w:tc>
      </w:tr>
      <w:tr>
        <w:trPr>
          <w:trHeight w:val="256" w:hRule="atLeast"/>
        </w:trPr>
        <w:tc>
          <w:tcPr>
            <w:tcW w:w="4095" w:type="dxa"/>
          </w:tcPr>
          <w:p>
            <w:pPr>
              <w:pStyle w:val="TableParagraph"/>
              <w:spacing w:line="225" w:lineRule="exact"/>
              <w:ind w:left="50"/>
              <w:rPr>
                <w:b/>
                <w:sz w:val="20"/>
              </w:rPr>
            </w:pPr>
            <w:r>
              <w:rPr>
                <w:b/>
                <w:color w:val="993200"/>
                <w:sz w:val="20"/>
              </w:rPr>
              <w:t>RECEIPTS AND PAYMENTS ACCOUNT</w:t>
            </w:r>
          </w:p>
        </w:tc>
        <w:tc>
          <w:tcPr>
            <w:tcW w:w="4402" w:type="dxa"/>
            <w:gridSpan w:val="4"/>
            <w:vMerge/>
            <w:tcBorders>
              <w:top w:val="nil"/>
            </w:tcBorders>
          </w:tcPr>
          <w:p>
            <w:pPr>
              <w:rPr>
                <w:sz w:val="2"/>
                <w:szCs w:val="2"/>
              </w:rPr>
            </w:pPr>
          </w:p>
        </w:tc>
      </w:tr>
      <w:tr>
        <w:trPr>
          <w:trHeight w:val="258" w:hRule="atLeast"/>
        </w:trPr>
        <w:tc>
          <w:tcPr>
            <w:tcW w:w="4095" w:type="dxa"/>
          </w:tcPr>
          <w:p>
            <w:pPr>
              <w:pStyle w:val="TableParagraph"/>
              <w:spacing w:line="225" w:lineRule="exact"/>
              <w:ind w:left="50"/>
              <w:rPr>
                <w:b/>
                <w:sz w:val="20"/>
              </w:rPr>
            </w:pPr>
            <w:r>
              <w:rPr>
                <w:b/>
                <w:color w:val="993200"/>
                <w:sz w:val="20"/>
              </w:rPr>
              <w:t>for the year ended 31 March 2017</w:t>
            </w:r>
          </w:p>
        </w:tc>
        <w:tc>
          <w:tcPr>
            <w:tcW w:w="4402" w:type="dxa"/>
            <w:gridSpan w:val="4"/>
            <w:vMerge/>
            <w:tcBorders>
              <w:top w:val="nil"/>
            </w:tcBorders>
          </w:tcPr>
          <w:p>
            <w:pPr>
              <w:rPr>
                <w:sz w:val="2"/>
                <w:szCs w:val="2"/>
              </w:rPr>
            </w:pPr>
          </w:p>
        </w:tc>
      </w:tr>
      <w:tr>
        <w:trPr>
          <w:trHeight w:val="251" w:hRule="atLeast"/>
        </w:trPr>
        <w:tc>
          <w:tcPr>
            <w:tcW w:w="4095" w:type="dxa"/>
          </w:tcPr>
          <w:p>
            <w:pPr>
              <w:pStyle w:val="TableParagraph"/>
              <w:rPr>
                <w:rFonts w:ascii="Times New Roman"/>
                <w:sz w:val="18"/>
              </w:rPr>
            </w:pPr>
          </w:p>
        </w:tc>
        <w:tc>
          <w:tcPr>
            <w:tcW w:w="1029" w:type="dxa"/>
          </w:tcPr>
          <w:p>
            <w:pPr>
              <w:pStyle w:val="TableParagraph"/>
              <w:rPr>
                <w:rFonts w:ascii="Times New Roman"/>
                <w:sz w:val="18"/>
              </w:rPr>
            </w:pPr>
          </w:p>
        </w:tc>
        <w:tc>
          <w:tcPr>
            <w:tcW w:w="1158" w:type="dxa"/>
          </w:tcPr>
          <w:p>
            <w:pPr>
              <w:pStyle w:val="TableParagraph"/>
              <w:rPr>
                <w:rFonts w:ascii="Times New Roman"/>
                <w:sz w:val="18"/>
              </w:rPr>
            </w:pPr>
          </w:p>
        </w:tc>
        <w:tc>
          <w:tcPr>
            <w:tcW w:w="426" w:type="dxa"/>
          </w:tcPr>
          <w:p>
            <w:pPr>
              <w:pStyle w:val="TableParagraph"/>
              <w:rPr>
                <w:rFonts w:ascii="Times New Roman"/>
                <w:sz w:val="18"/>
              </w:rPr>
            </w:pPr>
          </w:p>
        </w:tc>
        <w:tc>
          <w:tcPr>
            <w:tcW w:w="1789" w:type="dxa"/>
          </w:tcPr>
          <w:p>
            <w:pPr>
              <w:pStyle w:val="TableParagraph"/>
              <w:spacing w:line="226" w:lineRule="exact"/>
              <w:ind w:left="789"/>
              <w:rPr>
                <w:sz w:val="20"/>
              </w:rPr>
            </w:pPr>
            <w:r>
              <w:rPr>
                <w:sz w:val="20"/>
              </w:rPr>
              <w:t>Restated</w:t>
            </w:r>
          </w:p>
        </w:tc>
      </w:tr>
      <w:tr>
        <w:trPr>
          <w:trHeight w:val="251" w:hRule="atLeast"/>
        </w:trPr>
        <w:tc>
          <w:tcPr>
            <w:tcW w:w="4095" w:type="dxa"/>
          </w:tcPr>
          <w:p>
            <w:pPr>
              <w:pStyle w:val="TableParagraph"/>
              <w:rPr>
                <w:rFonts w:ascii="Times New Roman"/>
                <w:sz w:val="18"/>
              </w:rPr>
            </w:pPr>
          </w:p>
        </w:tc>
        <w:tc>
          <w:tcPr>
            <w:tcW w:w="1029" w:type="dxa"/>
          </w:tcPr>
          <w:p>
            <w:pPr>
              <w:pStyle w:val="TableParagraph"/>
              <w:spacing w:line="219" w:lineRule="exact"/>
              <w:ind w:left="296"/>
              <w:rPr>
                <w:b/>
                <w:sz w:val="20"/>
              </w:rPr>
            </w:pPr>
            <w:r>
              <w:rPr>
                <w:b/>
                <w:sz w:val="20"/>
              </w:rPr>
              <w:t>Year to</w:t>
            </w:r>
          </w:p>
        </w:tc>
        <w:tc>
          <w:tcPr>
            <w:tcW w:w="1158" w:type="dxa"/>
          </w:tcPr>
          <w:p>
            <w:pPr>
              <w:pStyle w:val="TableParagraph"/>
              <w:spacing w:line="219" w:lineRule="exact"/>
              <w:ind w:left="54"/>
              <w:rPr>
                <w:b/>
                <w:sz w:val="20"/>
              </w:rPr>
            </w:pPr>
            <w:r>
              <w:rPr>
                <w:b/>
                <w:sz w:val="20"/>
              </w:rPr>
              <w:t>31/03/2017</w:t>
            </w:r>
          </w:p>
        </w:tc>
        <w:tc>
          <w:tcPr>
            <w:tcW w:w="426" w:type="dxa"/>
          </w:tcPr>
          <w:p>
            <w:pPr>
              <w:pStyle w:val="TableParagraph"/>
              <w:rPr>
                <w:rFonts w:ascii="Times New Roman"/>
                <w:sz w:val="18"/>
              </w:rPr>
            </w:pPr>
          </w:p>
        </w:tc>
        <w:tc>
          <w:tcPr>
            <w:tcW w:w="1789" w:type="dxa"/>
          </w:tcPr>
          <w:p>
            <w:pPr>
              <w:pStyle w:val="TableParagraph"/>
              <w:spacing w:line="222" w:lineRule="exact"/>
              <w:ind w:left="35"/>
              <w:rPr>
                <w:sz w:val="20"/>
              </w:rPr>
            </w:pPr>
            <w:r>
              <w:rPr>
                <w:sz w:val="20"/>
              </w:rPr>
              <w:t>Year to 31/03/2016</w:t>
            </w:r>
          </w:p>
        </w:tc>
      </w:tr>
      <w:tr>
        <w:trPr>
          <w:trHeight w:val="256" w:hRule="atLeast"/>
        </w:trPr>
        <w:tc>
          <w:tcPr>
            <w:tcW w:w="4095" w:type="dxa"/>
          </w:tcPr>
          <w:p>
            <w:pPr>
              <w:pStyle w:val="TableParagraph"/>
              <w:spacing w:line="224" w:lineRule="exact"/>
              <w:ind w:left="50"/>
              <w:rPr>
                <w:b/>
                <w:sz w:val="20"/>
              </w:rPr>
            </w:pPr>
            <w:r>
              <w:rPr>
                <w:b/>
                <w:color w:val="993200"/>
                <w:sz w:val="20"/>
              </w:rPr>
              <w:t>RECEIPTS</w:t>
            </w:r>
          </w:p>
        </w:tc>
        <w:tc>
          <w:tcPr>
            <w:tcW w:w="1029" w:type="dxa"/>
          </w:tcPr>
          <w:p>
            <w:pPr>
              <w:pStyle w:val="TableParagraph"/>
              <w:rPr>
                <w:rFonts w:ascii="Times New Roman"/>
                <w:sz w:val="18"/>
              </w:rPr>
            </w:pPr>
          </w:p>
        </w:tc>
        <w:tc>
          <w:tcPr>
            <w:tcW w:w="1158" w:type="dxa"/>
          </w:tcPr>
          <w:p>
            <w:pPr>
              <w:pStyle w:val="TableParagraph"/>
              <w:rPr>
                <w:rFonts w:ascii="Times New Roman"/>
                <w:sz w:val="18"/>
              </w:rPr>
            </w:pPr>
          </w:p>
        </w:tc>
        <w:tc>
          <w:tcPr>
            <w:tcW w:w="426" w:type="dxa"/>
          </w:tcPr>
          <w:p>
            <w:pPr>
              <w:pStyle w:val="TableParagraph"/>
              <w:rPr>
                <w:rFonts w:ascii="Times New Roman"/>
                <w:sz w:val="18"/>
              </w:rPr>
            </w:pPr>
          </w:p>
        </w:tc>
        <w:tc>
          <w:tcPr>
            <w:tcW w:w="1789" w:type="dxa"/>
          </w:tcPr>
          <w:p>
            <w:pPr>
              <w:pStyle w:val="TableParagraph"/>
              <w:rPr>
                <w:rFonts w:ascii="Times New Roman"/>
                <w:sz w:val="18"/>
              </w:rPr>
            </w:pPr>
          </w:p>
        </w:tc>
      </w:tr>
      <w:tr>
        <w:trPr>
          <w:trHeight w:val="253" w:hRule="atLeast"/>
        </w:trPr>
        <w:tc>
          <w:tcPr>
            <w:tcW w:w="4095" w:type="dxa"/>
          </w:tcPr>
          <w:p>
            <w:pPr>
              <w:pStyle w:val="TableParagraph"/>
              <w:spacing w:line="226" w:lineRule="exact"/>
              <w:ind w:left="50"/>
              <w:rPr>
                <w:sz w:val="20"/>
              </w:rPr>
            </w:pPr>
            <w:r>
              <w:rPr>
                <w:sz w:val="20"/>
              </w:rPr>
              <w:t>Donations from individuals</w:t>
            </w:r>
          </w:p>
        </w:tc>
        <w:tc>
          <w:tcPr>
            <w:tcW w:w="1029" w:type="dxa"/>
          </w:tcPr>
          <w:p>
            <w:pPr>
              <w:pStyle w:val="TableParagraph"/>
              <w:rPr>
                <w:rFonts w:ascii="Times New Roman"/>
                <w:sz w:val="18"/>
              </w:rPr>
            </w:pPr>
          </w:p>
        </w:tc>
        <w:tc>
          <w:tcPr>
            <w:tcW w:w="1158" w:type="dxa"/>
          </w:tcPr>
          <w:p>
            <w:pPr>
              <w:pStyle w:val="TableParagraph"/>
              <w:spacing w:line="226" w:lineRule="exact"/>
              <w:ind w:right="23"/>
              <w:jc w:val="right"/>
              <w:rPr>
                <w:sz w:val="20"/>
              </w:rPr>
            </w:pPr>
            <w:r>
              <w:rPr>
                <w:sz w:val="20"/>
              </w:rPr>
              <w:t>19,878.27</w:t>
            </w:r>
          </w:p>
        </w:tc>
        <w:tc>
          <w:tcPr>
            <w:tcW w:w="426" w:type="dxa"/>
          </w:tcPr>
          <w:p>
            <w:pPr>
              <w:pStyle w:val="TableParagraph"/>
              <w:rPr>
                <w:rFonts w:ascii="Times New Roman"/>
                <w:sz w:val="18"/>
              </w:rPr>
            </w:pPr>
          </w:p>
        </w:tc>
        <w:tc>
          <w:tcPr>
            <w:tcW w:w="1789" w:type="dxa"/>
          </w:tcPr>
          <w:p>
            <w:pPr>
              <w:pStyle w:val="TableParagraph"/>
              <w:spacing w:line="226" w:lineRule="exact"/>
              <w:ind w:left="700"/>
              <w:rPr>
                <w:sz w:val="20"/>
              </w:rPr>
            </w:pPr>
            <w:r>
              <w:rPr>
                <w:sz w:val="20"/>
              </w:rPr>
              <w:t>17,458.06</w:t>
            </w:r>
          </w:p>
        </w:tc>
      </w:tr>
      <w:tr>
        <w:trPr>
          <w:trHeight w:val="247" w:hRule="atLeast"/>
        </w:trPr>
        <w:tc>
          <w:tcPr>
            <w:tcW w:w="4095" w:type="dxa"/>
          </w:tcPr>
          <w:p>
            <w:pPr>
              <w:pStyle w:val="TableParagraph"/>
              <w:spacing w:line="220" w:lineRule="exact"/>
              <w:ind w:left="50"/>
              <w:rPr>
                <w:sz w:val="20"/>
              </w:rPr>
            </w:pPr>
            <w:r>
              <w:rPr>
                <w:sz w:val="20"/>
              </w:rPr>
              <w:t>Donations from groups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526.00</w:t>
            </w:r>
          </w:p>
        </w:tc>
        <w:tc>
          <w:tcPr>
            <w:tcW w:w="426" w:type="dxa"/>
          </w:tcPr>
          <w:p>
            <w:pPr>
              <w:pStyle w:val="TableParagraph"/>
              <w:rPr>
                <w:rFonts w:ascii="Times New Roman"/>
                <w:sz w:val="18"/>
              </w:rPr>
            </w:pPr>
          </w:p>
        </w:tc>
        <w:tc>
          <w:tcPr>
            <w:tcW w:w="1789" w:type="dxa"/>
          </w:tcPr>
          <w:p>
            <w:pPr>
              <w:pStyle w:val="TableParagraph"/>
              <w:spacing w:line="220" w:lineRule="exact"/>
              <w:ind w:left="813"/>
              <w:rPr>
                <w:sz w:val="20"/>
              </w:rPr>
            </w:pPr>
            <w:r>
              <w:rPr>
                <w:sz w:val="20"/>
              </w:rPr>
              <w:t>2,280.00</w:t>
            </w:r>
          </w:p>
        </w:tc>
      </w:tr>
      <w:tr>
        <w:trPr>
          <w:trHeight w:val="247" w:hRule="atLeast"/>
        </w:trPr>
        <w:tc>
          <w:tcPr>
            <w:tcW w:w="4095" w:type="dxa"/>
          </w:tcPr>
          <w:p>
            <w:pPr>
              <w:pStyle w:val="TableParagraph"/>
              <w:spacing w:line="220" w:lineRule="exact"/>
              <w:ind w:left="50"/>
              <w:rPr>
                <w:sz w:val="20"/>
              </w:rPr>
            </w:pPr>
            <w:r>
              <w:rPr>
                <w:sz w:val="20"/>
              </w:rPr>
              <w:t>Sponsored Bike Ride</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17,296.62</w:t>
            </w:r>
          </w:p>
        </w:tc>
        <w:tc>
          <w:tcPr>
            <w:tcW w:w="426" w:type="dxa"/>
          </w:tcPr>
          <w:p>
            <w:pPr>
              <w:pStyle w:val="TableParagraph"/>
              <w:rPr>
                <w:rFonts w:ascii="Times New Roman"/>
                <w:sz w:val="18"/>
              </w:rPr>
            </w:pPr>
          </w:p>
        </w:tc>
        <w:tc>
          <w:tcPr>
            <w:tcW w:w="1789" w:type="dxa"/>
          </w:tcPr>
          <w:p>
            <w:pPr>
              <w:pStyle w:val="TableParagraph"/>
              <w:spacing w:line="220" w:lineRule="exact"/>
              <w:ind w:right="198"/>
              <w:jc w:val="right"/>
              <w:rPr>
                <w:sz w:val="20"/>
              </w:rPr>
            </w:pPr>
            <w:r>
              <w:rPr>
                <w:w w:val="95"/>
                <w:sz w:val="20"/>
              </w:rPr>
              <w:t>0.00</w:t>
            </w:r>
          </w:p>
        </w:tc>
      </w:tr>
      <w:tr>
        <w:trPr>
          <w:trHeight w:val="247" w:hRule="atLeast"/>
        </w:trPr>
        <w:tc>
          <w:tcPr>
            <w:tcW w:w="4095" w:type="dxa"/>
          </w:tcPr>
          <w:p>
            <w:pPr>
              <w:pStyle w:val="TableParagraph"/>
              <w:spacing w:line="220" w:lineRule="exact"/>
              <w:ind w:left="50"/>
              <w:rPr>
                <w:sz w:val="20"/>
              </w:rPr>
            </w:pPr>
            <w:r>
              <w:rPr>
                <w:sz w:val="20"/>
              </w:rPr>
              <w:t>Fundraising meals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4,195.51</w:t>
            </w:r>
          </w:p>
        </w:tc>
        <w:tc>
          <w:tcPr>
            <w:tcW w:w="426" w:type="dxa"/>
          </w:tcPr>
          <w:p>
            <w:pPr>
              <w:pStyle w:val="TableParagraph"/>
              <w:rPr>
                <w:rFonts w:ascii="Times New Roman"/>
                <w:sz w:val="18"/>
              </w:rPr>
            </w:pPr>
          </w:p>
        </w:tc>
        <w:tc>
          <w:tcPr>
            <w:tcW w:w="1789" w:type="dxa"/>
          </w:tcPr>
          <w:p>
            <w:pPr>
              <w:pStyle w:val="TableParagraph"/>
              <w:spacing w:line="220" w:lineRule="exact"/>
              <w:ind w:left="813"/>
              <w:rPr>
                <w:sz w:val="20"/>
              </w:rPr>
            </w:pPr>
            <w:r>
              <w:rPr>
                <w:sz w:val="20"/>
              </w:rPr>
              <w:t>2,902.20</w:t>
            </w:r>
          </w:p>
        </w:tc>
      </w:tr>
      <w:tr>
        <w:trPr>
          <w:trHeight w:val="247" w:hRule="atLeast"/>
        </w:trPr>
        <w:tc>
          <w:tcPr>
            <w:tcW w:w="4095" w:type="dxa"/>
          </w:tcPr>
          <w:p>
            <w:pPr>
              <w:pStyle w:val="TableParagraph"/>
              <w:spacing w:line="220" w:lineRule="exact"/>
              <w:ind w:left="50"/>
              <w:rPr>
                <w:sz w:val="20"/>
              </w:rPr>
            </w:pPr>
            <w:r>
              <w:rPr>
                <w:sz w:val="20"/>
              </w:rPr>
              <w:t>London Sponsored Walk</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838.00</w:t>
            </w:r>
          </w:p>
        </w:tc>
        <w:tc>
          <w:tcPr>
            <w:tcW w:w="426" w:type="dxa"/>
          </w:tcPr>
          <w:p>
            <w:pPr>
              <w:pStyle w:val="TableParagraph"/>
              <w:rPr>
                <w:rFonts w:ascii="Times New Roman"/>
                <w:sz w:val="18"/>
              </w:rPr>
            </w:pPr>
          </w:p>
        </w:tc>
        <w:tc>
          <w:tcPr>
            <w:tcW w:w="1789" w:type="dxa"/>
          </w:tcPr>
          <w:p>
            <w:pPr>
              <w:pStyle w:val="TableParagraph"/>
              <w:spacing w:line="220" w:lineRule="exact"/>
              <w:ind w:left="813"/>
              <w:rPr>
                <w:sz w:val="20"/>
              </w:rPr>
            </w:pPr>
            <w:r>
              <w:rPr>
                <w:sz w:val="20"/>
              </w:rPr>
              <w:t>1,950.09</w:t>
            </w:r>
          </w:p>
        </w:tc>
      </w:tr>
      <w:tr>
        <w:trPr>
          <w:trHeight w:val="247" w:hRule="atLeast"/>
        </w:trPr>
        <w:tc>
          <w:tcPr>
            <w:tcW w:w="4095" w:type="dxa"/>
          </w:tcPr>
          <w:p>
            <w:pPr>
              <w:pStyle w:val="TableParagraph"/>
              <w:spacing w:line="220" w:lineRule="exact"/>
              <w:ind w:left="50"/>
              <w:rPr>
                <w:sz w:val="20"/>
              </w:rPr>
            </w:pPr>
            <w:r>
              <w:rPr>
                <w:sz w:val="20"/>
              </w:rPr>
              <w:t>Sale of calendars, jewellery etc,</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30.00</w:t>
            </w:r>
          </w:p>
        </w:tc>
        <w:tc>
          <w:tcPr>
            <w:tcW w:w="426" w:type="dxa"/>
          </w:tcPr>
          <w:p>
            <w:pPr>
              <w:pStyle w:val="TableParagraph"/>
              <w:rPr>
                <w:rFonts w:ascii="Times New Roman"/>
                <w:sz w:val="18"/>
              </w:rPr>
            </w:pPr>
          </w:p>
        </w:tc>
        <w:tc>
          <w:tcPr>
            <w:tcW w:w="1789" w:type="dxa"/>
          </w:tcPr>
          <w:p>
            <w:pPr>
              <w:pStyle w:val="TableParagraph"/>
              <w:spacing w:line="220" w:lineRule="exact"/>
              <w:ind w:right="198"/>
              <w:jc w:val="right"/>
              <w:rPr>
                <w:sz w:val="20"/>
              </w:rPr>
            </w:pPr>
            <w:r>
              <w:rPr>
                <w:w w:val="95"/>
                <w:sz w:val="20"/>
              </w:rPr>
              <w:t>0.00</w:t>
            </w:r>
          </w:p>
        </w:tc>
      </w:tr>
      <w:tr>
        <w:trPr>
          <w:trHeight w:val="247" w:hRule="atLeast"/>
        </w:trPr>
        <w:tc>
          <w:tcPr>
            <w:tcW w:w="4095" w:type="dxa"/>
          </w:tcPr>
          <w:p>
            <w:pPr>
              <w:pStyle w:val="TableParagraph"/>
              <w:spacing w:line="220" w:lineRule="exact"/>
              <w:ind w:left="50"/>
              <w:rPr>
                <w:sz w:val="20"/>
              </w:rPr>
            </w:pPr>
            <w:r>
              <w:rPr>
                <w:sz w:val="20"/>
              </w:rPr>
              <w:t>Legacies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2,000.00</w:t>
            </w:r>
          </w:p>
        </w:tc>
        <w:tc>
          <w:tcPr>
            <w:tcW w:w="426" w:type="dxa"/>
          </w:tcPr>
          <w:p>
            <w:pPr>
              <w:pStyle w:val="TableParagraph"/>
              <w:rPr>
                <w:rFonts w:ascii="Times New Roman"/>
                <w:sz w:val="18"/>
              </w:rPr>
            </w:pPr>
          </w:p>
        </w:tc>
        <w:tc>
          <w:tcPr>
            <w:tcW w:w="1789" w:type="dxa"/>
          </w:tcPr>
          <w:p>
            <w:pPr>
              <w:pStyle w:val="TableParagraph"/>
              <w:spacing w:line="220" w:lineRule="exact"/>
              <w:ind w:right="198"/>
              <w:jc w:val="right"/>
              <w:rPr>
                <w:sz w:val="20"/>
              </w:rPr>
            </w:pPr>
            <w:r>
              <w:rPr>
                <w:w w:val="95"/>
                <w:sz w:val="20"/>
              </w:rPr>
              <w:t>0.00</w:t>
            </w:r>
          </w:p>
        </w:tc>
      </w:tr>
      <w:tr>
        <w:trPr>
          <w:trHeight w:val="247" w:hRule="atLeast"/>
        </w:trPr>
        <w:tc>
          <w:tcPr>
            <w:tcW w:w="4095" w:type="dxa"/>
          </w:tcPr>
          <w:p>
            <w:pPr>
              <w:pStyle w:val="TableParagraph"/>
              <w:spacing w:line="220" w:lineRule="exact"/>
              <w:ind w:left="50"/>
              <w:rPr>
                <w:sz w:val="20"/>
              </w:rPr>
            </w:pPr>
            <w:r>
              <w:rPr>
                <w:sz w:val="20"/>
              </w:rPr>
              <w:t>Interest from CCLA Deposit Account</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29.42</w:t>
            </w:r>
          </w:p>
        </w:tc>
        <w:tc>
          <w:tcPr>
            <w:tcW w:w="426" w:type="dxa"/>
          </w:tcPr>
          <w:p>
            <w:pPr>
              <w:pStyle w:val="TableParagraph"/>
              <w:rPr>
                <w:rFonts w:ascii="Times New Roman"/>
                <w:sz w:val="18"/>
              </w:rPr>
            </w:pPr>
          </w:p>
        </w:tc>
        <w:tc>
          <w:tcPr>
            <w:tcW w:w="1789" w:type="dxa"/>
          </w:tcPr>
          <w:p>
            <w:pPr>
              <w:pStyle w:val="TableParagraph"/>
              <w:spacing w:line="220" w:lineRule="exact"/>
              <w:ind w:left="1089"/>
              <w:rPr>
                <w:sz w:val="20"/>
              </w:rPr>
            </w:pPr>
            <w:r>
              <w:rPr>
                <w:sz w:val="20"/>
              </w:rPr>
              <w:t>37.41</w:t>
            </w:r>
          </w:p>
        </w:tc>
      </w:tr>
      <w:tr>
        <w:trPr>
          <w:trHeight w:val="247" w:hRule="atLeast"/>
        </w:trPr>
        <w:tc>
          <w:tcPr>
            <w:tcW w:w="4095" w:type="dxa"/>
          </w:tcPr>
          <w:p>
            <w:pPr>
              <w:pStyle w:val="TableParagraph"/>
              <w:spacing w:line="220" w:lineRule="exact"/>
              <w:ind w:left="50"/>
              <w:rPr>
                <w:sz w:val="20"/>
              </w:rPr>
            </w:pPr>
            <w:r>
              <w:rPr>
                <w:sz w:val="20"/>
              </w:rPr>
              <w:t>Interest from CCLA Investment Account</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7,385.38</w:t>
            </w:r>
          </w:p>
        </w:tc>
        <w:tc>
          <w:tcPr>
            <w:tcW w:w="426" w:type="dxa"/>
          </w:tcPr>
          <w:p>
            <w:pPr>
              <w:pStyle w:val="TableParagraph"/>
              <w:rPr>
                <w:rFonts w:ascii="Times New Roman"/>
                <w:sz w:val="18"/>
              </w:rPr>
            </w:pPr>
          </w:p>
        </w:tc>
        <w:tc>
          <w:tcPr>
            <w:tcW w:w="1789" w:type="dxa"/>
          </w:tcPr>
          <w:p>
            <w:pPr>
              <w:pStyle w:val="TableParagraph"/>
              <w:spacing w:line="220" w:lineRule="exact"/>
              <w:ind w:left="813"/>
              <w:rPr>
                <w:sz w:val="20"/>
              </w:rPr>
            </w:pPr>
            <w:r>
              <w:rPr>
                <w:sz w:val="20"/>
              </w:rPr>
              <w:t>7,334.25</w:t>
            </w:r>
          </w:p>
        </w:tc>
      </w:tr>
      <w:tr>
        <w:trPr>
          <w:trHeight w:val="245" w:hRule="atLeast"/>
        </w:trPr>
        <w:tc>
          <w:tcPr>
            <w:tcW w:w="4095" w:type="dxa"/>
          </w:tcPr>
          <w:p>
            <w:pPr>
              <w:pStyle w:val="TableParagraph"/>
              <w:spacing w:line="220" w:lineRule="exact"/>
              <w:ind w:left="50"/>
              <w:rPr>
                <w:sz w:val="20"/>
              </w:rPr>
            </w:pPr>
            <w:r>
              <w:rPr>
                <w:sz w:val="20"/>
              </w:rPr>
              <w:t>Tax recovered from HMRC</w:t>
            </w:r>
          </w:p>
        </w:tc>
        <w:tc>
          <w:tcPr>
            <w:tcW w:w="1029" w:type="dxa"/>
          </w:tcPr>
          <w:p>
            <w:pPr>
              <w:pStyle w:val="TableParagraph"/>
              <w:rPr>
                <w:rFonts w:ascii="Times New Roman"/>
                <w:sz w:val="16"/>
              </w:rPr>
            </w:pPr>
          </w:p>
        </w:tc>
        <w:tc>
          <w:tcPr>
            <w:tcW w:w="1158" w:type="dxa"/>
          </w:tcPr>
          <w:p>
            <w:pPr>
              <w:pStyle w:val="TableParagraph"/>
              <w:spacing w:line="220" w:lineRule="exact"/>
              <w:ind w:right="23"/>
              <w:jc w:val="right"/>
              <w:rPr>
                <w:sz w:val="20"/>
              </w:rPr>
            </w:pPr>
            <w:r>
              <w:rPr>
                <w:sz w:val="20"/>
              </w:rPr>
              <w:t>4,578.62</w:t>
            </w:r>
          </w:p>
        </w:tc>
        <w:tc>
          <w:tcPr>
            <w:tcW w:w="426" w:type="dxa"/>
          </w:tcPr>
          <w:p>
            <w:pPr>
              <w:pStyle w:val="TableParagraph"/>
              <w:rPr>
                <w:rFonts w:ascii="Times New Roman"/>
                <w:sz w:val="16"/>
              </w:rPr>
            </w:pPr>
          </w:p>
        </w:tc>
        <w:tc>
          <w:tcPr>
            <w:tcW w:w="1789" w:type="dxa"/>
          </w:tcPr>
          <w:p>
            <w:pPr>
              <w:pStyle w:val="TableParagraph"/>
              <w:spacing w:line="220" w:lineRule="exact"/>
              <w:ind w:left="813"/>
              <w:rPr>
                <w:sz w:val="20"/>
              </w:rPr>
            </w:pPr>
            <w:r>
              <w:rPr>
                <w:sz w:val="20"/>
              </w:rPr>
              <w:t>5,401.46</w:t>
            </w:r>
          </w:p>
        </w:tc>
      </w:tr>
      <w:tr>
        <w:trPr>
          <w:trHeight w:val="286" w:hRule="atLeast"/>
        </w:trPr>
        <w:tc>
          <w:tcPr>
            <w:tcW w:w="4095" w:type="dxa"/>
          </w:tcPr>
          <w:p>
            <w:pPr>
              <w:pStyle w:val="TableParagraph"/>
              <w:spacing w:line="219" w:lineRule="exact"/>
              <w:ind w:left="50"/>
              <w:rPr>
                <w:b/>
                <w:sz w:val="20"/>
              </w:rPr>
            </w:pPr>
            <w:r>
              <w:rPr>
                <w:b/>
                <w:color w:val="993200"/>
                <w:sz w:val="20"/>
              </w:rPr>
              <w:t>TOTAL RECEIPTS</w:t>
            </w:r>
          </w:p>
        </w:tc>
        <w:tc>
          <w:tcPr>
            <w:tcW w:w="1029" w:type="dxa"/>
            <w:tcBorders>
              <w:bottom w:val="single" w:sz="6" w:space="0" w:color="000000"/>
            </w:tcBorders>
          </w:tcPr>
          <w:p>
            <w:pPr>
              <w:pStyle w:val="TableParagraph"/>
              <w:rPr>
                <w:rFonts w:ascii="Times New Roman"/>
                <w:sz w:val="18"/>
              </w:rPr>
            </w:pPr>
          </w:p>
        </w:tc>
        <w:tc>
          <w:tcPr>
            <w:tcW w:w="1158" w:type="dxa"/>
            <w:tcBorders>
              <w:bottom w:val="single" w:sz="6" w:space="0" w:color="000000"/>
            </w:tcBorders>
          </w:tcPr>
          <w:p>
            <w:pPr>
              <w:pStyle w:val="TableParagraph"/>
              <w:spacing w:line="219" w:lineRule="exact"/>
              <w:ind w:right="23"/>
              <w:jc w:val="right"/>
              <w:rPr>
                <w:b/>
                <w:sz w:val="20"/>
              </w:rPr>
            </w:pPr>
            <w:r>
              <w:rPr>
                <w:b/>
                <w:sz w:val="20"/>
              </w:rPr>
              <w:t>56,757.82</w:t>
            </w:r>
          </w:p>
        </w:tc>
        <w:tc>
          <w:tcPr>
            <w:tcW w:w="426" w:type="dxa"/>
          </w:tcPr>
          <w:p>
            <w:pPr>
              <w:pStyle w:val="TableParagraph"/>
              <w:rPr>
                <w:rFonts w:ascii="Times New Roman"/>
                <w:sz w:val="18"/>
              </w:rPr>
            </w:pPr>
          </w:p>
        </w:tc>
        <w:tc>
          <w:tcPr>
            <w:tcW w:w="1789" w:type="dxa"/>
            <w:tcBorders>
              <w:bottom w:val="single" w:sz="6" w:space="0" w:color="000000"/>
            </w:tcBorders>
          </w:tcPr>
          <w:p>
            <w:pPr>
              <w:pStyle w:val="TableParagraph"/>
              <w:spacing w:line="219" w:lineRule="exact"/>
              <w:ind w:left="700"/>
              <w:rPr>
                <w:b/>
                <w:sz w:val="20"/>
              </w:rPr>
            </w:pPr>
            <w:r>
              <w:rPr>
                <w:b/>
                <w:sz w:val="20"/>
              </w:rPr>
              <w:t>37,363.47</w:t>
            </w:r>
          </w:p>
        </w:tc>
      </w:tr>
      <w:tr>
        <w:trPr>
          <w:trHeight w:val="516" w:hRule="atLeast"/>
        </w:trPr>
        <w:tc>
          <w:tcPr>
            <w:tcW w:w="4095" w:type="dxa"/>
          </w:tcPr>
          <w:p>
            <w:pPr>
              <w:pStyle w:val="TableParagraph"/>
              <w:rPr>
                <w:rFonts w:ascii="Times New Roman"/>
                <w:i/>
                <w:sz w:val="22"/>
              </w:rPr>
            </w:pPr>
          </w:p>
          <w:p>
            <w:pPr>
              <w:pStyle w:val="TableParagraph"/>
              <w:ind w:left="50"/>
              <w:rPr>
                <w:b/>
                <w:sz w:val="20"/>
              </w:rPr>
            </w:pPr>
            <w:r>
              <w:rPr>
                <w:b/>
                <w:color w:val="993200"/>
                <w:sz w:val="20"/>
              </w:rPr>
              <w:t>PAYMENTS</w:t>
            </w:r>
          </w:p>
        </w:tc>
        <w:tc>
          <w:tcPr>
            <w:tcW w:w="1029" w:type="dxa"/>
            <w:tcBorders>
              <w:top w:val="single" w:sz="6" w:space="0" w:color="000000"/>
            </w:tcBorders>
          </w:tcPr>
          <w:p>
            <w:pPr>
              <w:pStyle w:val="TableParagraph"/>
              <w:rPr>
                <w:rFonts w:ascii="Times New Roman"/>
                <w:sz w:val="18"/>
              </w:rPr>
            </w:pPr>
          </w:p>
        </w:tc>
        <w:tc>
          <w:tcPr>
            <w:tcW w:w="1158" w:type="dxa"/>
            <w:tcBorders>
              <w:top w:val="single" w:sz="6" w:space="0" w:color="000000"/>
            </w:tcBorders>
          </w:tcPr>
          <w:p>
            <w:pPr>
              <w:pStyle w:val="TableParagraph"/>
              <w:rPr>
                <w:rFonts w:ascii="Times New Roman"/>
                <w:sz w:val="18"/>
              </w:rPr>
            </w:pPr>
          </w:p>
        </w:tc>
        <w:tc>
          <w:tcPr>
            <w:tcW w:w="426" w:type="dxa"/>
          </w:tcPr>
          <w:p>
            <w:pPr>
              <w:pStyle w:val="TableParagraph"/>
              <w:rPr>
                <w:rFonts w:ascii="Times New Roman"/>
                <w:sz w:val="18"/>
              </w:rPr>
            </w:pPr>
          </w:p>
        </w:tc>
        <w:tc>
          <w:tcPr>
            <w:tcW w:w="1789" w:type="dxa"/>
            <w:tcBorders>
              <w:top w:val="single" w:sz="6" w:space="0" w:color="000000"/>
            </w:tcBorders>
          </w:tcPr>
          <w:p>
            <w:pPr>
              <w:pStyle w:val="TableParagraph"/>
              <w:rPr>
                <w:rFonts w:ascii="Times New Roman"/>
                <w:sz w:val="18"/>
              </w:rPr>
            </w:pPr>
          </w:p>
        </w:tc>
      </w:tr>
      <w:tr>
        <w:trPr>
          <w:trHeight w:val="253" w:hRule="atLeast"/>
        </w:trPr>
        <w:tc>
          <w:tcPr>
            <w:tcW w:w="4095" w:type="dxa"/>
          </w:tcPr>
          <w:p>
            <w:pPr>
              <w:pStyle w:val="TableParagraph"/>
              <w:spacing w:line="226" w:lineRule="exact"/>
              <w:ind w:left="50"/>
              <w:rPr>
                <w:sz w:val="20"/>
              </w:rPr>
            </w:pPr>
            <w:r>
              <w:rPr>
                <w:sz w:val="20"/>
              </w:rPr>
              <w:t>Grant to KYAG</w:t>
            </w:r>
          </w:p>
        </w:tc>
        <w:tc>
          <w:tcPr>
            <w:tcW w:w="1029" w:type="dxa"/>
          </w:tcPr>
          <w:p>
            <w:pPr>
              <w:pStyle w:val="TableParagraph"/>
              <w:rPr>
                <w:rFonts w:ascii="Times New Roman"/>
                <w:sz w:val="18"/>
              </w:rPr>
            </w:pPr>
          </w:p>
        </w:tc>
        <w:tc>
          <w:tcPr>
            <w:tcW w:w="1158" w:type="dxa"/>
          </w:tcPr>
          <w:p>
            <w:pPr>
              <w:pStyle w:val="TableParagraph"/>
              <w:spacing w:line="226" w:lineRule="exact"/>
              <w:ind w:right="23"/>
              <w:jc w:val="right"/>
              <w:rPr>
                <w:sz w:val="20"/>
              </w:rPr>
            </w:pPr>
            <w:r>
              <w:rPr>
                <w:sz w:val="20"/>
              </w:rPr>
              <w:t>51,000.00</w:t>
            </w:r>
          </w:p>
        </w:tc>
        <w:tc>
          <w:tcPr>
            <w:tcW w:w="426" w:type="dxa"/>
          </w:tcPr>
          <w:p>
            <w:pPr>
              <w:pStyle w:val="TableParagraph"/>
              <w:rPr>
                <w:rFonts w:ascii="Times New Roman"/>
                <w:sz w:val="18"/>
              </w:rPr>
            </w:pPr>
          </w:p>
        </w:tc>
        <w:tc>
          <w:tcPr>
            <w:tcW w:w="1789" w:type="dxa"/>
          </w:tcPr>
          <w:p>
            <w:pPr>
              <w:pStyle w:val="TableParagraph"/>
              <w:spacing w:line="226" w:lineRule="exact"/>
              <w:ind w:left="700"/>
              <w:rPr>
                <w:sz w:val="20"/>
              </w:rPr>
            </w:pPr>
            <w:r>
              <w:rPr>
                <w:sz w:val="20"/>
              </w:rPr>
              <w:t>47,000.00</w:t>
            </w:r>
          </w:p>
        </w:tc>
      </w:tr>
      <w:tr>
        <w:trPr>
          <w:trHeight w:val="247" w:hRule="atLeast"/>
        </w:trPr>
        <w:tc>
          <w:tcPr>
            <w:tcW w:w="4095" w:type="dxa"/>
          </w:tcPr>
          <w:p>
            <w:pPr>
              <w:pStyle w:val="TableParagraph"/>
              <w:spacing w:line="220" w:lineRule="exact"/>
              <w:ind w:left="50"/>
              <w:rPr>
                <w:sz w:val="20"/>
              </w:rPr>
            </w:pPr>
            <w:r>
              <w:rPr>
                <w:sz w:val="20"/>
              </w:rPr>
              <w:t>Publicity leaflet</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w w:val="95"/>
                <w:sz w:val="20"/>
              </w:rPr>
              <w:t>0.00</w:t>
            </w:r>
          </w:p>
        </w:tc>
        <w:tc>
          <w:tcPr>
            <w:tcW w:w="426" w:type="dxa"/>
          </w:tcPr>
          <w:p>
            <w:pPr>
              <w:pStyle w:val="TableParagraph"/>
              <w:rPr>
                <w:rFonts w:ascii="Times New Roman"/>
                <w:sz w:val="18"/>
              </w:rPr>
            </w:pPr>
          </w:p>
        </w:tc>
        <w:tc>
          <w:tcPr>
            <w:tcW w:w="1789" w:type="dxa"/>
          </w:tcPr>
          <w:p>
            <w:pPr>
              <w:pStyle w:val="TableParagraph"/>
              <w:spacing w:line="220" w:lineRule="exact"/>
              <w:ind w:left="978"/>
              <w:rPr>
                <w:sz w:val="20"/>
              </w:rPr>
            </w:pPr>
            <w:r>
              <w:rPr>
                <w:sz w:val="20"/>
              </w:rPr>
              <w:t>248.00</w:t>
            </w:r>
          </w:p>
        </w:tc>
      </w:tr>
      <w:tr>
        <w:trPr>
          <w:trHeight w:val="247" w:hRule="atLeast"/>
        </w:trPr>
        <w:tc>
          <w:tcPr>
            <w:tcW w:w="4095" w:type="dxa"/>
          </w:tcPr>
          <w:p>
            <w:pPr>
              <w:pStyle w:val="TableParagraph"/>
              <w:spacing w:line="220" w:lineRule="exact"/>
              <w:ind w:left="50"/>
              <w:rPr>
                <w:sz w:val="20"/>
              </w:rPr>
            </w:pPr>
            <w:r>
              <w:rPr>
                <w:sz w:val="20"/>
              </w:rPr>
              <w:t>Newsletter printing and packing</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287.96</w:t>
            </w:r>
          </w:p>
        </w:tc>
        <w:tc>
          <w:tcPr>
            <w:tcW w:w="426" w:type="dxa"/>
          </w:tcPr>
          <w:p>
            <w:pPr>
              <w:pStyle w:val="TableParagraph"/>
              <w:rPr>
                <w:rFonts w:ascii="Times New Roman"/>
                <w:sz w:val="18"/>
              </w:rPr>
            </w:pPr>
          </w:p>
        </w:tc>
        <w:tc>
          <w:tcPr>
            <w:tcW w:w="1789" w:type="dxa"/>
          </w:tcPr>
          <w:p>
            <w:pPr>
              <w:pStyle w:val="TableParagraph"/>
              <w:spacing w:line="220" w:lineRule="exact"/>
              <w:ind w:left="978"/>
              <w:rPr>
                <w:sz w:val="20"/>
              </w:rPr>
            </w:pPr>
            <w:r>
              <w:rPr>
                <w:sz w:val="20"/>
              </w:rPr>
              <w:t>250.07</w:t>
            </w:r>
          </w:p>
        </w:tc>
      </w:tr>
      <w:tr>
        <w:trPr>
          <w:trHeight w:val="247" w:hRule="atLeast"/>
        </w:trPr>
        <w:tc>
          <w:tcPr>
            <w:tcW w:w="4095" w:type="dxa"/>
          </w:tcPr>
          <w:p>
            <w:pPr>
              <w:pStyle w:val="TableParagraph"/>
              <w:spacing w:line="220" w:lineRule="exact"/>
              <w:ind w:left="50"/>
              <w:rPr>
                <w:sz w:val="20"/>
              </w:rPr>
            </w:pPr>
            <w:r>
              <w:rPr>
                <w:sz w:val="20"/>
              </w:rPr>
              <w:t>Postage</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531.77</w:t>
            </w:r>
          </w:p>
        </w:tc>
        <w:tc>
          <w:tcPr>
            <w:tcW w:w="426" w:type="dxa"/>
          </w:tcPr>
          <w:p>
            <w:pPr>
              <w:pStyle w:val="TableParagraph"/>
              <w:rPr>
                <w:rFonts w:ascii="Times New Roman"/>
                <w:sz w:val="18"/>
              </w:rPr>
            </w:pPr>
          </w:p>
        </w:tc>
        <w:tc>
          <w:tcPr>
            <w:tcW w:w="1789" w:type="dxa"/>
          </w:tcPr>
          <w:p>
            <w:pPr>
              <w:pStyle w:val="TableParagraph"/>
              <w:spacing w:line="220" w:lineRule="exact"/>
              <w:ind w:left="978"/>
              <w:rPr>
                <w:sz w:val="20"/>
              </w:rPr>
            </w:pPr>
            <w:r>
              <w:rPr>
                <w:sz w:val="20"/>
              </w:rPr>
              <w:t>521.54</w:t>
            </w:r>
          </w:p>
        </w:tc>
      </w:tr>
      <w:tr>
        <w:trPr>
          <w:trHeight w:val="247" w:hRule="atLeast"/>
        </w:trPr>
        <w:tc>
          <w:tcPr>
            <w:tcW w:w="4095" w:type="dxa"/>
          </w:tcPr>
          <w:p>
            <w:pPr>
              <w:pStyle w:val="TableParagraph"/>
              <w:spacing w:line="220" w:lineRule="exact"/>
              <w:ind w:left="50"/>
              <w:rPr>
                <w:sz w:val="20"/>
              </w:rPr>
            </w:pPr>
            <w:r>
              <w:rPr>
                <w:sz w:val="20"/>
              </w:rPr>
              <w:t>Meeting room hire</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82.50</w:t>
            </w:r>
          </w:p>
        </w:tc>
        <w:tc>
          <w:tcPr>
            <w:tcW w:w="426" w:type="dxa"/>
          </w:tcPr>
          <w:p>
            <w:pPr>
              <w:pStyle w:val="TableParagraph"/>
              <w:rPr>
                <w:rFonts w:ascii="Times New Roman"/>
                <w:sz w:val="18"/>
              </w:rPr>
            </w:pPr>
          </w:p>
        </w:tc>
        <w:tc>
          <w:tcPr>
            <w:tcW w:w="1789" w:type="dxa"/>
          </w:tcPr>
          <w:p>
            <w:pPr>
              <w:pStyle w:val="TableParagraph"/>
              <w:spacing w:line="220" w:lineRule="exact"/>
              <w:ind w:left="1089"/>
              <w:rPr>
                <w:sz w:val="20"/>
              </w:rPr>
            </w:pPr>
            <w:r>
              <w:rPr>
                <w:sz w:val="20"/>
              </w:rPr>
              <w:t>97.00</w:t>
            </w:r>
          </w:p>
        </w:tc>
      </w:tr>
      <w:tr>
        <w:trPr>
          <w:trHeight w:val="247" w:hRule="atLeast"/>
        </w:trPr>
        <w:tc>
          <w:tcPr>
            <w:tcW w:w="4095" w:type="dxa"/>
          </w:tcPr>
          <w:p>
            <w:pPr>
              <w:pStyle w:val="TableParagraph"/>
              <w:spacing w:line="220" w:lineRule="exact"/>
              <w:ind w:left="50"/>
              <w:rPr>
                <w:sz w:val="20"/>
              </w:rPr>
            </w:pPr>
            <w:r>
              <w:rPr>
                <w:sz w:val="20"/>
              </w:rPr>
              <w:t>Trustees' monitoring visit to Bangladesh</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500.00</w:t>
            </w:r>
          </w:p>
        </w:tc>
        <w:tc>
          <w:tcPr>
            <w:tcW w:w="426" w:type="dxa"/>
          </w:tcPr>
          <w:p>
            <w:pPr>
              <w:pStyle w:val="TableParagraph"/>
              <w:rPr>
                <w:rFonts w:ascii="Times New Roman"/>
                <w:sz w:val="18"/>
              </w:rPr>
            </w:pPr>
          </w:p>
        </w:tc>
        <w:tc>
          <w:tcPr>
            <w:tcW w:w="1789" w:type="dxa"/>
          </w:tcPr>
          <w:p>
            <w:pPr>
              <w:pStyle w:val="TableParagraph"/>
              <w:spacing w:line="220" w:lineRule="exact"/>
              <w:ind w:left="978"/>
              <w:rPr>
                <w:sz w:val="20"/>
              </w:rPr>
            </w:pPr>
            <w:r>
              <w:rPr>
                <w:sz w:val="20"/>
              </w:rPr>
              <w:t>900.00</w:t>
            </w:r>
          </w:p>
        </w:tc>
      </w:tr>
      <w:tr>
        <w:trPr>
          <w:trHeight w:val="247" w:hRule="atLeast"/>
        </w:trPr>
        <w:tc>
          <w:tcPr>
            <w:tcW w:w="4095" w:type="dxa"/>
          </w:tcPr>
          <w:p>
            <w:pPr>
              <w:pStyle w:val="TableParagraph"/>
              <w:spacing w:line="220" w:lineRule="exact"/>
              <w:ind w:left="50"/>
              <w:rPr>
                <w:sz w:val="20"/>
              </w:rPr>
            </w:pPr>
            <w:r>
              <w:rPr>
                <w:sz w:val="20"/>
              </w:rPr>
              <w:t>Money transfer charges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125.00</w:t>
            </w:r>
          </w:p>
        </w:tc>
        <w:tc>
          <w:tcPr>
            <w:tcW w:w="426" w:type="dxa"/>
          </w:tcPr>
          <w:p>
            <w:pPr>
              <w:pStyle w:val="TableParagraph"/>
              <w:rPr>
                <w:rFonts w:ascii="Times New Roman"/>
                <w:sz w:val="18"/>
              </w:rPr>
            </w:pPr>
          </w:p>
        </w:tc>
        <w:tc>
          <w:tcPr>
            <w:tcW w:w="1789" w:type="dxa"/>
          </w:tcPr>
          <w:p>
            <w:pPr>
              <w:pStyle w:val="TableParagraph"/>
              <w:spacing w:line="220" w:lineRule="exact"/>
              <w:ind w:left="978"/>
              <w:rPr>
                <w:sz w:val="20"/>
              </w:rPr>
            </w:pPr>
            <w:r>
              <w:rPr>
                <w:sz w:val="20"/>
              </w:rPr>
              <w:t>100.00</w:t>
            </w:r>
          </w:p>
        </w:tc>
      </w:tr>
      <w:tr>
        <w:trPr>
          <w:trHeight w:val="247" w:hRule="atLeast"/>
        </w:trPr>
        <w:tc>
          <w:tcPr>
            <w:tcW w:w="4095" w:type="dxa"/>
          </w:tcPr>
          <w:p>
            <w:pPr>
              <w:pStyle w:val="TableParagraph"/>
              <w:spacing w:line="220" w:lineRule="exact"/>
              <w:ind w:left="50"/>
              <w:rPr>
                <w:sz w:val="20"/>
              </w:rPr>
            </w:pPr>
            <w:r>
              <w:rPr>
                <w:sz w:val="20"/>
              </w:rPr>
              <w:t>Bike ride costs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5,995.00</w:t>
            </w:r>
          </w:p>
        </w:tc>
        <w:tc>
          <w:tcPr>
            <w:tcW w:w="426" w:type="dxa"/>
          </w:tcPr>
          <w:p>
            <w:pPr>
              <w:pStyle w:val="TableParagraph"/>
              <w:rPr>
                <w:rFonts w:ascii="Times New Roman"/>
                <w:sz w:val="18"/>
              </w:rPr>
            </w:pPr>
          </w:p>
        </w:tc>
        <w:tc>
          <w:tcPr>
            <w:tcW w:w="1789" w:type="dxa"/>
          </w:tcPr>
          <w:p>
            <w:pPr>
              <w:pStyle w:val="TableParagraph"/>
              <w:spacing w:line="220" w:lineRule="exact"/>
              <w:ind w:right="198"/>
              <w:jc w:val="right"/>
              <w:rPr>
                <w:sz w:val="20"/>
              </w:rPr>
            </w:pPr>
            <w:r>
              <w:rPr>
                <w:w w:val="95"/>
                <w:sz w:val="20"/>
              </w:rPr>
              <w:t>0.00</w:t>
            </w:r>
          </w:p>
        </w:tc>
      </w:tr>
      <w:tr>
        <w:trPr>
          <w:trHeight w:val="247" w:hRule="atLeast"/>
        </w:trPr>
        <w:tc>
          <w:tcPr>
            <w:tcW w:w="4095" w:type="dxa"/>
          </w:tcPr>
          <w:p>
            <w:pPr>
              <w:pStyle w:val="TableParagraph"/>
              <w:spacing w:line="220" w:lineRule="exact"/>
              <w:ind w:left="50"/>
              <w:rPr>
                <w:sz w:val="20"/>
              </w:rPr>
            </w:pPr>
            <w:r>
              <w:rPr>
                <w:sz w:val="20"/>
              </w:rPr>
              <w:t>London Walk expenses</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24.85</w:t>
            </w:r>
          </w:p>
        </w:tc>
        <w:tc>
          <w:tcPr>
            <w:tcW w:w="426" w:type="dxa"/>
          </w:tcPr>
          <w:p>
            <w:pPr>
              <w:pStyle w:val="TableParagraph"/>
              <w:rPr>
                <w:rFonts w:ascii="Times New Roman"/>
                <w:sz w:val="18"/>
              </w:rPr>
            </w:pPr>
          </w:p>
        </w:tc>
        <w:tc>
          <w:tcPr>
            <w:tcW w:w="1789" w:type="dxa"/>
          </w:tcPr>
          <w:p>
            <w:pPr>
              <w:pStyle w:val="TableParagraph"/>
              <w:spacing w:line="220" w:lineRule="exact"/>
              <w:ind w:right="198"/>
              <w:jc w:val="right"/>
              <w:rPr>
                <w:sz w:val="20"/>
              </w:rPr>
            </w:pPr>
            <w:r>
              <w:rPr>
                <w:w w:val="95"/>
                <w:sz w:val="20"/>
              </w:rPr>
              <w:t>0.00</w:t>
            </w:r>
          </w:p>
        </w:tc>
      </w:tr>
      <w:tr>
        <w:trPr>
          <w:trHeight w:val="244" w:hRule="atLeast"/>
        </w:trPr>
        <w:tc>
          <w:tcPr>
            <w:tcW w:w="4095" w:type="dxa"/>
          </w:tcPr>
          <w:p>
            <w:pPr>
              <w:pStyle w:val="TableParagraph"/>
              <w:spacing w:line="220" w:lineRule="exact"/>
              <w:ind w:left="50"/>
              <w:rPr>
                <w:sz w:val="20"/>
              </w:rPr>
            </w:pPr>
            <w:r>
              <w:rPr>
                <w:sz w:val="20"/>
              </w:rPr>
              <w:t>Returned cheque</w:t>
            </w:r>
          </w:p>
        </w:tc>
        <w:tc>
          <w:tcPr>
            <w:tcW w:w="1029" w:type="dxa"/>
          </w:tcPr>
          <w:p>
            <w:pPr>
              <w:pStyle w:val="TableParagraph"/>
              <w:rPr>
                <w:rFonts w:ascii="Times New Roman"/>
                <w:sz w:val="16"/>
              </w:rPr>
            </w:pPr>
          </w:p>
        </w:tc>
        <w:tc>
          <w:tcPr>
            <w:tcW w:w="1158" w:type="dxa"/>
          </w:tcPr>
          <w:p>
            <w:pPr>
              <w:pStyle w:val="TableParagraph"/>
              <w:spacing w:line="220" w:lineRule="exact"/>
              <w:ind w:right="23"/>
              <w:jc w:val="right"/>
              <w:rPr>
                <w:sz w:val="20"/>
              </w:rPr>
            </w:pPr>
            <w:r>
              <w:rPr>
                <w:w w:val="95"/>
                <w:sz w:val="20"/>
              </w:rPr>
              <w:t>0.00</w:t>
            </w:r>
          </w:p>
        </w:tc>
        <w:tc>
          <w:tcPr>
            <w:tcW w:w="426" w:type="dxa"/>
          </w:tcPr>
          <w:p>
            <w:pPr>
              <w:pStyle w:val="TableParagraph"/>
              <w:rPr>
                <w:rFonts w:ascii="Times New Roman"/>
                <w:sz w:val="16"/>
              </w:rPr>
            </w:pPr>
          </w:p>
        </w:tc>
        <w:tc>
          <w:tcPr>
            <w:tcW w:w="1789" w:type="dxa"/>
          </w:tcPr>
          <w:p>
            <w:pPr>
              <w:pStyle w:val="TableParagraph"/>
              <w:spacing w:line="220" w:lineRule="exact"/>
              <w:ind w:left="1089"/>
              <w:rPr>
                <w:sz w:val="20"/>
              </w:rPr>
            </w:pPr>
            <w:r>
              <w:rPr>
                <w:sz w:val="20"/>
              </w:rPr>
              <w:t>50.00</w:t>
            </w:r>
          </w:p>
        </w:tc>
      </w:tr>
      <w:tr>
        <w:trPr>
          <w:trHeight w:val="288" w:hRule="atLeast"/>
        </w:trPr>
        <w:tc>
          <w:tcPr>
            <w:tcW w:w="4095" w:type="dxa"/>
          </w:tcPr>
          <w:p>
            <w:pPr>
              <w:pStyle w:val="TableParagraph"/>
              <w:spacing w:line="218" w:lineRule="exact"/>
              <w:ind w:left="50"/>
              <w:rPr>
                <w:b/>
                <w:sz w:val="20"/>
              </w:rPr>
            </w:pPr>
            <w:r>
              <w:rPr>
                <w:b/>
                <w:color w:val="993200"/>
                <w:sz w:val="20"/>
              </w:rPr>
              <w:t>TOTAL PAYMENTS</w:t>
            </w:r>
          </w:p>
        </w:tc>
        <w:tc>
          <w:tcPr>
            <w:tcW w:w="1029" w:type="dxa"/>
            <w:tcBorders>
              <w:bottom w:val="single" w:sz="6" w:space="0" w:color="000000"/>
            </w:tcBorders>
          </w:tcPr>
          <w:p>
            <w:pPr>
              <w:pStyle w:val="TableParagraph"/>
              <w:rPr>
                <w:rFonts w:ascii="Times New Roman"/>
                <w:sz w:val="18"/>
              </w:rPr>
            </w:pPr>
          </w:p>
        </w:tc>
        <w:tc>
          <w:tcPr>
            <w:tcW w:w="1158" w:type="dxa"/>
            <w:tcBorders>
              <w:bottom w:val="single" w:sz="6" w:space="0" w:color="000000"/>
            </w:tcBorders>
          </w:tcPr>
          <w:p>
            <w:pPr>
              <w:pStyle w:val="TableParagraph"/>
              <w:spacing w:line="218" w:lineRule="exact"/>
              <w:ind w:right="23"/>
              <w:jc w:val="right"/>
              <w:rPr>
                <w:b/>
                <w:sz w:val="20"/>
              </w:rPr>
            </w:pPr>
            <w:r>
              <w:rPr>
                <w:b/>
                <w:sz w:val="20"/>
              </w:rPr>
              <w:t>58,547.08</w:t>
            </w:r>
          </w:p>
        </w:tc>
        <w:tc>
          <w:tcPr>
            <w:tcW w:w="426" w:type="dxa"/>
          </w:tcPr>
          <w:p>
            <w:pPr>
              <w:pStyle w:val="TableParagraph"/>
              <w:rPr>
                <w:rFonts w:ascii="Times New Roman"/>
                <w:sz w:val="18"/>
              </w:rPr>
            </w:pPr>
          </w:p>
        </w:tc>
        <w:tc>
          <w:tcPr>
            <w:tcW w:w="1789" w:type="dxa"/>
            <w:tcBorders>
              <w:bottom w:val="single" w:sz="6" w:space="0" w:color="000000"/>
            </w:tcBorders>
          </w:tcPr>
          <w:p>
            <w:pPr>
              <w:pStyle w:val="TableParagraph"/>
              <w:spacing w:line="218" w:lineRule="exact"/>
              <w:ind w:left="700"/>
              <w:rPr>
                <w:b/>
                <w:sz w:val="20"/>
              </w:rPr>
            </w:pPr>
            <w:r>
              <w:rPr>
                <w:b/>
                <w:sz w:val="20"/>
              </w:rPr>
              <w:t>49,166.61</w:t>
            </w:r>
          </w:p>
        </w:tc>
      </w:tr>
      <w:tr>
        <w:trPr>
          <w:trHeight w:val="553" w:hRule="atLeast"/>
        </w:trPr>
        <w:tc>
          <w:tcPr>
            <w:tcW w:w="4095" w:type="dxa"/>
          </w:tcPr>
          <w:p>
            <w:pPr>
              <w:pStyle w:val="TableParagraph"/>
              <w:spacing w:before="3"/>
              <w:rPr>
                <w:rFonts w:ascii="Times New Roman"/>
                <w:i/>
                <w:sz w:val="22"/>
              </w:rPr>
            </w:pPr>
          </w:p>
          <w:p>
            <w:pPr>
              <w:pStyle w:val="TableParagraph"/>
              <w:ind w:left="50"/>
              <w:rPr>
                <w:sz w:val="20"/>
              </w:rPr>
            </w:pPr>
            <w:r>
              <w:rPr>
                <w:sz w:val="20"/>
              </w:rPr>
              <w:t>Surplus/deficit</w:t>
            </w:r>
          </w:p>
        </w:tc>
        <w:tc>
          <w:tcPr>
            <w:tcW w:w="1029" w:type="dxa"/>
            <w:tcBorders>
              <w:top w:val="single" w:sz="6" w:space="0" w:color="000000"/>
              <w:bottom w:val="single" w:sz="6" w:space="0" w:color="000000"/>
            </w:tcBorders>
          </w:tcPr>
          <w:p>
            <w:pPr>
              <w:pStyle w:val="TableParagraph"/>
              <w:rPr>
                <w:rFonts w:ascii="Times New Roman"/>
                <w:sz w:val="18"/>
              </w:rPr>
            </w:pPr>
          </w:p>
        </w:tc>
        <w:tc>
          <w:tcPr>
            <w:tcW w:w="1158" w:type="dxa"/>
            <w:tcBorders>
              <w:top w:val="single" w:sz="6" w:space="0" w:color="000000"/>
              <w:bottom w:val="single" w:sz="6" w:space="0" w:color="000000"/>
            </w:tcBorders>
          </w:tcPr>
          <w:p>
            <w:pPr>
              <w:pStyle w:val="TableParagraph"/>
              <w:rPr>
                <w:rFonts w:ascii="Times New Roman"/>
                <w:i/>
                <w:sz w:val="22"/>
              </w:rPr>
            </w:pPr>
          </w:p>
          <w:p>
            <w:pPr>
              <w:pStyle w:val="TableParagraph"/>
              <w:ind w:right="23"/>
              <w:jc w:val="right"/>
              <w:rPr>
                <w:b/>
                <w:sz w:val="20"/>
              </w:rPr>
            </w:pPr>
            <w:r>
              <w:rPr>
                <w:b/>
                <w:sz w:val="20"/>
              </w:rPr>
              <w:t>-1,789.26</w:t>
            </w:r>
          </w:p>
        </w:tc>
        <w:tc>
          <w:tcPr>
            <w:tcW w:w="426" w:type="dxa"/>
          </w:tcPr>
          <w:p>
            <w:pPr>
              <w:pStyle w:val="TableParagraph"/>
              <w:rPr>
                <w:rFonts w:ascii="Times New Roman"/>
                <w:sz w:val="18"/>
              </w:rPr>
            </w:pPr>
          </w:p>
        </w:tc>
        <w:tc>
          <w:tcPr>
            <w:tcW w:w="1789" w:type="dxa"/>
            <w:tcBorders>
              <w:top w:val="single" w:sz="6" w:space="0" w:color="000000"/>
              <w:bottom w:val="single" w:sz="6" w:space="0" w:color="000000"/>
            </w:tcBorders>
          </w:tcPr>
          <w:p>
            <w:pPr>
              <w:pStyle w:val="TableParagraph"/>
              <w:rPr>
                <w:rFonts w:ascii="Times New Roman"/>
                <w:i/>
                <w:sz w:val="22"/>
              </w:rPr>
            </w:pPr>
          </w:p>
          <w:p>
            <w:pPr>
              <w:pStyle w:val="TableParagraph"/>
              <w:ind w:left="633"/>
              <w:rPr>
                <w:b/>
                <w:sz w:val="20"/>
              </w:rPr>
            </w:pPr>
            <w:r>
              <w:rPr>
                <w:b/>
                <w:sz w:val="20"/>
              </w:rPr>
              <w:t>-11,803.14</w:t>
            </w:r>
          </w:p>
        </w:tc>
      </w:tr>
      <w:tr>
        <w:trPr>
          <w:trHeight w:val="512" w:hRule="atLeast"/>
        </w:trPr>
        <w:tc>
          <w:tcPr>
            <w:tcW w:w="4095" w:type="dxa"/>
          </w:tcPr>
          <w:p>
            <w:pPr>
              <w:pStyle w:val="TableParagraph"/>
              <w:spacing w:before="3"/>
              <w:rPr>
                <w:rFonts w:ascii="Times New Roman"/>
                <w:i/>
                <w:sz w:val="22"/>
              </w:rPr>
            </w:pPr>
          </w:p>
          <w:p>
            <w:pPr>
              <w:pStyle w:val="TableParagraph"/>
              <w:ind w:left="50"/>
              <w:rPr>
                <w:sz w:val="20"/>
              </w:rPr>
            </w:pPr>
            <w:r>
              <w:rPr>
                <w:sz w:val="20"/>
              </w:rPr>
              <w:t>Balance brought forward</w:t>
            </w:r>
          </w:p>
        </w:tc>
        <w:tc>
          <w:tcPr>
            <w:tcW w:w="1029" w:type="dxa"/>
            <w:tcBorders>
              <w:top w:val="single" w:sz="6" w:space="0" w:color="000000"/>
            </w:tcBorders>
          </w:tcPr>
          <w:p>
            <w:pPr>
              <w:pStyle w:val="TableParagraph"/>
              <w:rPr>
                <w:rFonts w:ascii="Times New Roman"/>
                <w:sz w:val="18"/>
              </w:rPr>
            </w:pPr>
          </w:p>
        </w:tc>
        <w:tc>
          <w:tcPr>
            <w:tcW w:w="1158" w:type="dxa"/>
            <w:tcBorders>
              <w:top w:val="single" w:sz="6" w:space="0" w:color="000000"/>
            </w:tcBorders>
          </w:tcPr>
          <w:p>
            <w:pPr>
              <w:pStyle w:val="TableParagraph"/>
              <w:spacing w:before="3"/>
              <w:rPr>
                <w:rFonts w:ascii="Times New Roman"/>
                <w:i/>
                <w:sz w:val="22"/>
              </w:rPr>
            </w:pPr>
          </w:p>
          <w:p>
            <w:pPr>
              <w:pStyle w:val="TableParagraph"/>
              <w:ind w:right="23"/>
              <w:jc w:val="right"/>
              <w:rPr>
                <w:sz w:val="20"/>
              </w:rPr>
            </w:pPr>
            <w:r>
              <w:rPr>
                <w:sz w:val="20"/>
              </w:rPr>
              <w:t>188,935.30</w:t>
            </w:r>
          </w:p>
        </w:tc>
        <w:tc>
          <w:tcPr>
            <w:tcW w:w="426" w:type="dxa"/>
          </w:tcPr>
          <w:p>
            <w:pPr>
              <w:pStyle w:val="TableParagraph"/>
              <w:rPr>
                <w:rFonts w:ascii="Times New Roman"/>
                <w:sz w:val="18"/>
              </w:rPr>
            </w:pPr>
          </w:p>
        </w:tc>
        <w:tc>
          <w:tcPr>
            <w:tcW w:w="1789" w:type="dxa"/>
            <w:tcBorders>
              <w:top w:val="single" w:sz="6" w:space="0" w:color="000000"/>
            </w:tcBorders>
          </w:tcPr>
          <w:p>
            <w:pPr>
              <w:pStyle w:val="TableParagraph"/>
              <w:spacing w:before="3"/>
              <w:rPr>
                <w:rFonts w:ascii="Times New Roman"/>
                <w:i/>
                <w:sz w:val="22"/>
              </w:rPr>
            </w:pPr>
          </w:p>
          <w:p>
            <w:pPr>
              <w:pStyle w:val="TableParagraph"/>
              <w:ind w:left="590"/>
              <w:rPr>
                <w:sz w:val="20"/>
              </w:rPr>
            </w:pPr>
            <w:r>
              <w:rPr>
                <w:sz w:val="20"/>
              </w:rPr>
              <w:t>211,203.51</w:t>
            </w:r>
          </w:p>
        </w:tc>
      </w:tr>
      <w:tr>
        <w:trPr>
          <w:trHeight w:val="247" w:hRule="atLeast"/>
        </w:trPr>
        <w:tc>
          <w:tcPr>
            <w:tcW w:w="4095" w:type="dxa"/>
          </w:tcPr>
          <w:p>
            <w:pPr>
              <w:pStyle w:val="TableParagraph"/>
              <w:spacing w:line="220" w:lineRule="exact"/>
              <w:ind w:left="50"/>
              <w:rPr>
                <w:sz w:val="20"/>
              </w:rPr>
            </w:pPr>
            <w:r>
              <w:rPr>
                <w:sz w:val="20"/>
              </w:rPr>
              <w:t>Surplus/deficit for the year</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-1,789.26</w:t>
            </w:r>
          </w:p>
        </w:tc>
        <w:tc>
          <w:tcPr>
            <w:tcW w:w="426" w:type="dxa"/>
          </w:tcPr>
          <w:p>
            <w:pPr>
              <w:pStyle w:val="TableParagraph"/>
              <w:rPr>
                <w:rFonts w:ascii="Times New Roman"/>
                <w:sz w:val="18"/>
              </w:rPr>
            </w:pPr>
          </w:p>
        </w:tc>
        <w:tc>
          <w:tcPr>
            <w:tcW w:w="1789" w:type="dxa"/>
          </w:tcPr>
          <w:p>
            <w:pPr>
              <w:pStyle w:val="TableParagraph"/>
              <w:spacing w:line="220" w:lineRule="exact"/>
              <w:ind w:left="633"/>
              <w:rPr>
                <w:sz w:val="20"/>
              </w:rPr>
            </w:pPr>
            <w:r>
              <w:rPr>
                <w:sz w:val="20"/>
              </w:rPr>
              <w:t>-11,803.14</w:t>
            </w:r>
          </w:p>
        </w:tc>
      </w:tr>
      <w:tr>
        <w:trPr>
          <w:trHeight w:val="245" w:hRule="atLeast"/>
        </w:trPr>
        <w:tc>
          <w:tcPr>
            <w:tcW w:w="4095" w:type="dxa"/>
          </w:tcPr>
          <w:p>
            <w:pPr>
              <w:pStyle w:val="TableParagraph"/>
              <w:spacing w:line="220" w:lineRule="exact"/>
              <w:ind w:left="50"/>
              <w:rPr>
                <w:sz w:val="20"/>
              </w:rPr>
            </w:pPr>
            <w:r>
              <w:rPr>
                <w:sz w:val="20"/>
              </w:rPr>
              <w:t>Revaluation gains/(losses) on investments</w:t>
            </w:r>
          </w:p>
        </w:tc>
        <w:tc>
          <w:tcPr>
            <w:tcW w:w="1029" w:type="dxa"/>
          </w:tcPr>
          <w:p>
            <w:pPr>
              <w:pStyle w:val="TableParagraph"/>
              <w:rPr>
                <w:rFonts w:ascii="Times New Roman"/>
                <w:sz w:val="16"/>
              </w:rPr>
            </w:pPr>
          </w:p>
        </w:tc>
        <w:tc>
          <w:tcPr>
            <w:tcW w:w="1158" w:type="dxa"/>
          </w:tcPr>
          <w:p>
            <w:pPr>
              <w:pStyle w:val="TableParagraph"/>
              <w:spacing w:line="220" w:lineRule="exact"/>
              <w:ind w:right="23"/>
              <w:jc w:val="right"/>
              <w:rPr>
                <w:sz w:val="20"/>
              </w:rPr>
            </w:pPr>
            <w:r>
              <w:rPr>
                <w:sz w:val="20"/>
              </w:rPr>
              <w:t>28,079.10</w:t>
            </w:r>
          </w:p>
        </w:tc>
        <w:tc>
          <w:tcPr>
            <w:tcW w:w="426" w:type="dxa"/>
          </w:tcPr>
          <w:p>
            <w:pPr>
              <w:pStyle w:val="TableParagraph"/>
              <w:rPr>
                <w:rFonts w:ascii="Times New Roman"/>
                <w:sz w:val="16"/>
              </w:rPr>
            </w:pPr>
          </w:p>
        </w:tc>
        <w:tc>
          <w:tcPr>
            <w:tcW w:w="1789" w:type="dxa"/>
          </w:tcPr>
          <w:p>
            <w:pPr>
              <w:pStyle w:val="TableParagraph"/>
              <w:spacing w:line="220" w:lineRule="exact"/>
              <w:ind w:left="633"/>
              <w:rPr>
                <w:sz w:val="20"/>
              </w:rPr>
            </w:pPr>
            <w:r>
              <w:rPr>
                <w:sz w:val="20"/>
              </w:rPr>
              <w:t>-10,465.07</w:t>
            </w:r>
          </w:p>
        </w:tc>
      </w:tr>
      <w:tr>
        <w:trPr>
          <w:trHeight w:val="286" w:hRule="atLeast"/>
        </w:trPr>
        <w:tc>
          <w:tcPr>
            <w:tcW w:w="4095" w:type="dxa"/>
          </w:tcPr>
          <w:p>
            <w:pPr>
              <w:pStyle w:val="TableParagraph"/>
              <w:spacing w:line="219" w:lineRule="exact"/>
              <w:ind w:left="50"/>
              <w:rPr>
                <w:b/>
                <w:sz w:val="20"/>
              </w:rPr>
            </w:pPr>
            <w:r>
              <w:rPr>
                <w:b/>
                <w:sz w:val="20"/>
              </w:rPr>
              <w:t>Cumulative surplus carried forward</w:t>
            </w:r>
          </w:p>
        </w:tc>
        <w:tc>
          <w:tcPr>
            <w:tcW w:w="1029" w:type="dxa"/>
            <w:tcBorders>
              <w:bottom w:val="single" w:sz="6" w:space="0" w:color="000000"/>
            </w:tcBorders>
          </w:tcPr>
          <w:p>
            <w:pPr>
              <w:pStyle w:val="TableParagraph"/>
              <w:rPr>
                <w:rFonts w:ascii="Times New Roman"/>
                <w:sz w:val="18"/>
              </w:rPr>
            </w:pPr>
          </w:p>
        </w:tc>
        <w:tc>
          <w:tcPr>
            <w:tcW w:w="1158" w:type="dxa"/>
            <w:tcBorders>
              <w:bottom w:val="single" w:sz="6" w:space="0" w:color="000000"/>
            </w:tcBorders>
          </w:tcPr>
          <w:p>
            <w:pPr>
              <w:pStyle w:val="TableParagraph"/>
              <w:spacing w:line="219" w:lineRule="exact"/>
              <w:ind w:right="23"/>
              <w:jc w:val="right"/>
              <w:rPr>
                <w:b/>
                <w:sz w:val="20"/>
              </w:rPr>
            </w:pPr>
            <w:r>
              <w:rPr>
                <w:b/>
                <w:sz w:val="20"/>
              </w:rPr>
              <w:t>215,225.14</w:t>
            </w:r>
          </w:p>
        </w:tc>
        <w:tc>
          <w:tcPr>
            <w:tcW w:w="426" w:type="dxa"/>
          </w:tcPr>
          <w:p>
            <w:pPr>
              <w:pStyle w:val="TableParagraph"/>
              <w:rPr>
                <w:rFonts w:ascii="Times New Roman"/>
                <w:sz w:val="18"/>
              </w:rPr>
            </w:pPr>
          </w:p>
        </w:tc>
        <w:tc>
          <w:tcPr>
            <w:tcW w:w="1789" w:type="dxa"/>
            <w:tcBorders>
              <w:bottom w:val="single" w:sz="6" w:space="0" w:color="000000"/>
            </w:tcBorders>
          </w:tcPr>
          <w:p>
            <w:pPr>
              <w:pStyle w:val="TableParagraph"/>
              <w:spacing w:line="219" w:lineRule="exact"/>
              <w:ind w:left="590"/>
              <w:rPr>
                <w:b/>
                <w:sz w:val="20"/>
              </w:rPr>
            </w:pPr>
            <w:r>
              <w:rPr>
                <w:b/>
                <w:sz w:val="20"/>
              </w:rPr>
              <w:t>188,935.30</w:t>
            </w:r>
          </w:p>
        </w:tc>
      </w:tr>
      <w:tr>
        <w:trPr>
          <w:trHeight w:val="516" w:hRule="atLeast"/>
        </w:trPr>
        <w:tc>
          <w:tcPr>
            <w:tcW w:w="4095" w:type="dxa"/>
          </w:tcPr>
          <w:p>
            <w:pPr>
              <w:pStyle w:val="TableParagraph"/>
              <w:rPr>
                <w:rFonts w:ascii="Times New Roman"/>
                <w:i/>
                <w:sz w:val="22"/>
              </w:rPr>
            </w:pPr>
          </w:p>
          <w:p>
            <w:pPr>
              <w:pStyle w:val="TableParagraph"/>
              <w:ind w:left="50"/>
              <w:rPr>
                <w:b/>
                <w:sz w:val="20"/>
              </w:rPr>
            </w:pPr>
            <w:r>
              <w:rPr>
                <w:b/>
                <w:sz w:val="20"/>
              </w:rPr>
              <w:t>Represented by</w:t>
            </w:r>
          </w:p>
        </w:tc>
        <w:tc>
          <w:tcPr>
            <w:tcW w:w="1029" w:type="dxa"/>
            <w:tcBorders>
              <w:top w:val="single" w:sz="6" w:space="0" w:color="000000"/>
            </w:tcBorders>
          </w:tcPr>
          <w:p>
            <w:pPr>
              <w:pStyle w:val="TableParagraph"/>
              <w:rPr>
                <w:rFonts w:ascii="Times New Roman"/>
                <w:sz w:val="18"/>
              </w:rPr>
            </w:pPr>
          </w:p>
        </w:tc>
        <w:tc>
          <w:tcPr>
            <w:tcW w:w="1158" w:type="dxa"/>
            <w:tcBorders>
              <w:top w:val="single" w:sz="6" w:space="0" w:color="000000"/>
            </w:tcBorders>
          </w:tcPr>
          <w:p>
            <w:pPr>
              <w:pStyle w:val="TableParagraph"/>
              <w:rPr>
                <w:rFonts w:ascii="Times New Roman"/>
                <w:sz w:val="18"/>
              </w:rPr>
            </w:pPr>
          </w:p>
        </w:tc>
        <w:tc>
          <w:tcPr>
            <w:tcW w:w="426" w:type="dxa"/>
          </w:tcPr>
          <w:p>
            <w:pPr>
              <w:pStyle w:val="TableParagraph"/>
              <w:rPr>
                <w:rFonts w:ascii="Times New Roman"/>
                <w:sz w:val="18"/>
              </w:rPr>
            </w:pPr>
          </w:p>
        </w:tc>
        <w:tc>
          <w:tcPr>
            <w:tcW w:w="1789" w:type="dxa"/>
            <w:tcBorders>
              <w:top w:val="single" w:sz="6" w:space="0" w:color="000000"/>
            </w:tcBorders>
          </w:tcPr>
          <w:p>
            <w:pPr>
              <w:pStyle w:val="TableParagraph"/>
              <w:rPr>
                <w:rFonts w:ascii="Times New Roman"/>
                <w:sz w:val="18"/>
              </w:rPr>
            </w:pPr>
          </w:p>
        </w:tc>
      </w:tr>
      <w:tr>
        <w:trPr>
          <w:trHeight w:val="253" w:hRule="atLeast"/>
        </w:trPr>
        <w:tc>
          <w:tcPr>
            <w:tcW w:w="4095" w:type="dxa"/>
          </w:tcPr>
          <w:p>
            <w:pPr>
              <w:pStyle w:val="TableParagraph"/>
              <w:spacing w:line="226" w:lineRule="exact"/>
              <w:ind w:left="50"/>
              <w:rPr>
                <w:sz w:val="20"/>
              </w:rPr>
            </w:pPr>
            <w:r>
              <w:rPr>
                <w:sz w:val="20"/>
              </w:rPr>
              <w:t>Barclays Bank Current Account</w:t>
            </w:r>
          </w:p>
        </w:tc>
        <w:tc>
          <w:tcPr>
            <w:tcW w:w="1029" w:type="dxa"/>
          </w:tcPr>
          <w:p>
            <w:pPr>
              <w:pStyle w:val="TableParagraph"/>
              <w:rPr>
                <w:rFonts w:ascii="Times New Roman"/>
                <w:sz w:val="18"/>
              </w:rPr>
            </w:pPr>
          </w:p>
        </w:tc>
        <w:tc>
          <w:tcPr>
            <w:tcW w:w="1158" w:type="dxa"/>
          </w:tcPr>
          <w:p>
            <w:pPr>
              <w:pStyle w:val="TableParagraph"/>
              <w:spacing w:line="226" w:lineRule="exact"/>
              <w:ind w:right="23"/>
              <w:jc w:val="right"/>
              <w:rPr>
                <w:sz w:val="20"/>
              </w:rPr>
            </w:pPr>
            <w:r>
              <w:rPr>
                <w:sz w:val="20"/>
              </w:rPr>
              <w:t>2,123.65</w:t>
            </w:r>
          </w:p>
        </w:tc>
        <w:tc>
          <w:tcPr>
            <w:tcW w:w="426" w:type="dxa"/>
          </w:tcPr>
          <w:p>
            <w:pPr>
              <w:pStyle w:val="TableParagraph"/>
              <w:rPr>
                <w:rFonts w:ascii="Times New Roman"/>
                <w:sz w:val="18"/>
              </w:rPr>
            </w:pPr>
          </w:p>
        </w:tc>
        <w:tc>
          <w:tcPr>
            <w:tcW w:w="1789" w:type="dxa"/>
          </w:tcPr>
          <w:p>
            <w:pPr>
              <w:pStyle w:val="TableParagraph"/>
              <w:spacing w:line="226" w:lineRule="exact"/>
              <w:ind w:left="813"/>
              <w:rPr>
                <w:sz w:val="20"/>
              </w:rPr>
            </w:pPr>
            <w:r>
              <w:rPr>
                <w:sz w:val="20"/>
              </w:rPr>
              <w:t>2,377.71</w:t>
            </w:r>
          </w:p>
        </w:tc>
      </w:tr>
      <w:tr>
        <w:trPr>
          <w:trHeight w:val="247" w:hRule="atLeast"/>
        </w:trPr>
        <w:tc>
          <w:tcPr>
            <w:tcW w:w="4095" w:type="dxa"/>
          </w:tcPr>
          <w:p>
            <w:pPr>
              <w:pStyle w:val="TableParagraph"/>
              <w:spacing w:line="220" w:lineRule="exact"/>
              <w:ind w:left="50"/>
              <w:rPr>
                <w:sz w:val="20"/>
              </w:rPr>
            </w:pPr>
            <w:r>
              <w:rPr>
                <w:sz w:val="20"/>
              </w:rPr>
              <w:t>CCLA Deposit Account</w:t>
            </w:r>
          </w:p>
        </w:tc>
        <w:tc>
          <w:tcPr>
            <w:tcW w:w="1029" w:type="dxa"/>
          </w:tcPr>
          <w:p>
            <w:pPr>
              <w:pStyle w:val="TableParagraph"/>
              <w:rPr>
                <w:rFonts w:ascii="Times New Roman"/>
                <w:sz w:val="18"/>
              </w:rPr>
            </w:pPr>
          </w:p>
        </w:tc>
        <w:tc>
          <w:tcPr>
            <w:tcW w:w="1158" w:type="dxa"/>
          </w:tcPr>
          <w:p>
            <w:pPr>
              <w:pStyle w:val="TableParagraph"/>
              <w:spacing w:line="220" w:lineRule="exact"/>
              <w:ind w:right="23"/>
              <w:jc w:val="right"/>
              <w:rPr>
                <w:sz w:val="20"/>
              </w:rPr>
            </w:pPr>
            <w:r>
              <w:rPr>
                <w:sz w:val="20"/>
              </w:rPr>
              <w:t>1,766.46</w:t>
            </w:r>
          </w:p>
        </w:tc>
        <w:tc>
          <w:tcPr>
            <w:tcW w:w="426" w:type="dxa"/>
          </w:tcPr>
          <w:p>
            <w:pPr>
              <w:pStyle w:val="TableParagraph"/>
              <w:rPr>
                <w:rFonts w:ascii="Times New Roman"/>
                <w:sz w:val="18"/>
              </w:rPr>
            </w:pPr>
          </w:p>
        </w:tc>
        <w:tc>
          <w:tcPr>
            <w:tcW w:w="1789" w:type="dxa"/>
          </w:tcPr>
          <w:p>
            <w:pPr>
              <w:pStyle w:val="TableParagraph"/>
              <w:spacing w:line="220" w:lineRule="exact"/>
              <w:ind w:left="813"/>
              <w:rPr>
                <w:sz w:val="20"/>
              </w:rPr>
            </w:pPr>
            <w:r>
              <w:rPr>
                <w:sz w:val="20"/>
              </w:rPr>
              <w:t>1,301.66</w:t>
            </w:r>
          </w:p>
        </w:tc>
      </w:tr>
      <w:tr>
        <w:trPr>
          <w:trHeight w:val="245" w:hRule="atLeast"/>
        </w:trPr>
        <w:tc>
          <w:tcPr>
            <w:tcW w:w="4095" w:type="dxa"/>
          </w:tcPr>
          <w:p>
            <w:pPr>
              <w:pStyle w:val="TableParagraph"/>
              <w:spacing w:line="220" w:lineRule="exact"/>
              <w:ind w:left="50"/>
              <w:rPr>
                <w:sz w:val="20"/>
              </w:rPr>
            </w:pPr>
            <w:r>
              <w:rPr>
                <w:sz w:val="20"/>
              </w:rPr>
              <w:t>CCLA Investment Account</w:t>
            </w:r>
          </w:p>
        </w:tc>
        <w:tc>
          <w:tcPr>
            <w:tcW w:w="1029" w:type="dxa"/>
          </w:tcPr>
          <w:p>
            <w:pPr>
              <w:pStyle w:val="TableParagraph"/>
              <w:rPr>
                <w:rFonts w:ascii="Times New Roman"/>
                <w:sz w:val="16"/>
              </w:rPr>
            </w:pPr>
          </w:p>
        </w:tc>
        <w:tc>
          <w:tcPr>
            <w:tcW w:w="1158" w:type="dxa"/>
          </w:tcPr>
          <w:p>
            <w:pPr>
              <w:pStyle w:val="TableParagraph"/>
              <w:spacing w:line="220" w:lineRule="exact"/>
              <w:ind w:right="23"/>
              <w:jc w:val="right"/>
              <w:rPr>
                <w:sz w:val="20"/>
              </w:rPr>
            </w:pPr>
            <w:r>
              <w:rPr>
                <w:sz w:val="20"/>
              </w:rPr>
              <w:t>211,335.03</w:t>
            </w:r>
          </w:p>
        </w:tc>
        <w:tc>
          <w:tcPr>
            <w:tcW w:w="426" w:type="dxa"/>
          </w:tcPr>
          <w:p>
            <w:pPr>
              <w:pStyle w:val="TableParagraph"/>
              <w:rPr>
                <w:rFonts w:ascii="Times New Roman"/>
                <w:sz w:val="16"/>
              </w:rPr>
            </w:pPr>
          </w:p>
        </w:tc>
        <w:tc>
          <w:tcPr>
            <w:tcW w:w="1789" w:type="dxa"/>
          </w:tcPr>
          <w:p>
            <w:pPr>
              <w:pStyle w:val="TableParagraph"/>
              <w:spacing w:line="220" w:lineRule="exact"/>
              <w:ind w:left="590"/>
              <w:rPr>
                <w:sz w:val="20"/>
              </w:rPr>
            </w:pPr>
            <w:r>
              <w:rPr>
                <w:sz w:val="20"/>
              </w:rPr>
              <w:t>185,255.93</w:t>
            </w:r>
          </w:p>
        </w:tc>
      </w:tr>
      <w:tr>
        <w:trPr>
          <w:trHeight w:val="289" w:hRule="atLeast"/>
        </w:trPr>
        <w:tc>
          <w:tcPr>
            <w:tcW w:w="4095" w:type="dxa"/>
          </w:tcPr>
          <w:p>
            <w:pPr>
              <w:pStyle w:val="TableParagraph"/>
              <w:rPr>
                <w:rFonts w:ascii="Times New Roman"/>
                <w:sz w:val="18"/>
              </w:rPr>
            </w:pPr>
          </w:p>
        </w:tc>
        <w:tc>
          <w:tcPr>
            <w:tcW w:w="1029" w:type="dxa"/>
            <w:tcBorders>
              <w:bottom w:val="single" w:sz="6" w:space="0" w:color="000000"/>
            </w:tcBorders>
          </w:tcPr>
          <w:p>
            <w:pPr>
              <w:pStyle w:val="TableParagraph"/>
              <w:rPr>
                <w:rFonts w:ascii="Times New Roman"/>
                <w:sz w:val="18"/>
              </w:rPr>
            </w:pPr>
          </w:p>
        </w:tc>
        <w:tc>
          <w:tcPr>
            <w:tcW w:w="1158" w:type="dxa"/>
            <w:tcBorders>
              <w:bottom w:val="single" w:sz="6" w:space="0" w:color="000000"/>
            </w:tcBorders>
          </w:tcPr>
          <w:p>
            <w:pPr>
              <w:pStyle w:val="TableParagraph"/>
              <w:spacing w:line="219" w:lineRule="exact"/>
              <w:ind w:right="23"/>
              <w:jc w:val="right"/>
              <w:rPr>
                <w:b/>
                <w:sz w:val="20"/>
              </w:rPr>
            </w:pPr>
            <w:r>
              <w:rPr>
                <w:b/>
                <w:sz w:val="20"/>
              </w:rPr>
              <w:t>215,225.14</w:t>
            </w:r>
          </w:p>
        </w:tc>
        <w:tc>
          <w:tcPr>
            <w:tcW w:w="426" w:type="dxa"/>
          </w:tcPr>
          <w:p>
            <w:pPr>
              <w:pStyle w:val="TableParagraph"/>
              <w:rPr>
                <w:rFonts w:ascii="Times New Roman"/>
                <w:sz w:val="18"/>
              </w:rPr>
            </w:pPr>
          </w:p>
        </w:tc>
        <w:tc>
          <w:tcPr>
            <w:tcW w:w="1789" w:type="dxa"/>
            <w:tcBorders>
              <w:bottom w:val="single" w:sz="6" w:space="0" w:color="000000"/>
            </w:tcBorders>
          </w:tcPr>
          <w:p>
            <w:pPr>
              <w:pStyle w:val="TableParagraph"/>
              <w:spacing w:line="219" w:lineRule="exact"/>
              <w:ind w:left="590"/>
              <w:rPr>
                <w:b/>
                <w:sz w:val="20"/>
              </w:rPr>
            </w:pPr>
            <w:r>
              <w:rPr>
                <w:b/>
                <w:sz w:val="20"/>
              </w:rPr>
              <w:t>188,935.30</w:t>
            </w:r>
          </w:p>
        </w:tc>
      </w:tr>
    </w:tbl>
    <w:p>
      <w:pPr>
        <w:pStyle w:val="BodyText"/>
        <w:rPr>
          <w:i/>
          <w:sz w:val="20"/>
        </w:rPr>
      </w:pPr>
      <w:r>
        <w:rPr/>
        <w:pict>
          <v:line style="position:absolute;mso-position-horizontal-relative:page;mso-position-vertical-relative:page;z-index:-252483584" from="293.040009pt,253.318619pt" to="363.719531pt,253.318619pt" stroked="true" strokeweight=".719531pt" strokecolor="#000000">
            <v:stroke dashstyle="solid"/>
            <w10:wrap type="none"/>
          </v:line>
        </w:pict>
      </w:r>
      <w:r>
        <w:rPr/>
        <w:pict>
          <v:line style="position:absolute;mso-position-horizontal-relative:page;mso-position-vertical-relative:page;z-index:-252482560" from="384.960022pt,253.318619pt" to="465.599545pt,253.318619pt" stroked="true" strokeweight=".719531pt" strokecolor="#000000">
            <v:stroke dashstyle="solid"/>
            <w10:wrap type="none"/>
          </v:line>
        </w:pict>
      </w:r>
      <w:r>
        <w:rPr/>
        <w:pict>
          <v:line style="position:absolute;mso-position-horizontal-relative:page;mso-position-vertical-relative:page;z-index:-252481536" from="293.040009pt,418.078613pt" to="363.719531pt,418.078613pt" stroked="true" strokeweight=".719531pt" strokecolor="#000000">
            <v:stroke dashstyle="solid"/>
            <w10:wrap type="none"/>
          </v:line>
        </w:pict>
      </w:r>
      <w:r>
        <w:rPr/>
        <w:pict>
          <v:line style="position:absolute;mso-position-horizontal-relative:page;mso-position-vertical-relative:page;z-index:-252480512" from="384.960022pt,418.078613pt" to="465.599545pt,418.078613pt" stroked="true" strokeweight=".719531pt" strokecolor="#000000">
            <v:stroke dashstyle="solid"/>
            <w10:wrap type="none"/>
          </v:line>
        </w:pict>
      </w:r>
      <w:r>
        <w:rPr/>
        <w:pict>
          <v:line style="position:absolute;mso-position-horizontal-relative:page;mso-position-vertical-relative:page;z-index:-252479488" from="293.040009pt,446.518616pt" to="363.719531pt,446.518616pt" stroked="true" strokeweight=".719531pt" strokecolor="#000000">
            <v:stroke dashstyle="solid"/>
            <w10:wrap type="none"/>
          </v:line>
        </w:pict>
      </w:r>
      <w:r>
        <w:rPr/>
        <w:pict>
          <v:line style="position:absolute;mso-position-horizontal-relative:page;mso-position-vertical-relative:page;z-index:-252478464" from="384.960022pt,446.518616pt" to="465.599545pt,446.518616pt" stroked="true" strokeweight=".719531pt" strokecolor="#000000">
            <v:stroke dashstyle="solid"/>
            <w10:wrap type="none"/>
          </v:line>
        </w:pict>
      </w:r>
      <w:r>
        <w:rPr/>
        <w:pict>
          <v:line style="position:absolute;mso-position-horizontal-relative:page;mso-position-vertical-relative:page;z-index:-252477440" from="293.040009pt,511.91861pt" to="363.719531pt,511.91861pt" stroked="true" strokeweight=".719531pt" strokecolor="#000000">
            <v:stroke dashstyle="solid"/>
            <w10:wrap type="none"/>
          </v:line>
        </w:pict>
      </w:r>
      <w:r>
        <w:rPr/>
        <w:pict>
          <v:line style="position:absolute;mso-position-horizontal-relative:page;mso-position-vertical-relative:page;z-index:-252476416" from="384.960022pt,511.91861pt" to="465.599545pt,511.91861pt" stroked="true" strokeweight=".719531pt" strokecolor="#000000">
            <v:stroke dashstyle="solid"/>
            <w10:wrap type="none"/>
          </v:line>
        </w:pict>
      </w:r>
    </w:p>
    <w:p>
      <w:pPr>
        <w:pStyle w:val="BodyText"/>
        <w:rPr>
          <w:i/>
          <w:sz w:val="20"/>
        </w:rPr>
      </w:pPr>
    </w:p>
    <w:p>
      <w:pPr>
        <w:pStyle w:val="BodyText"/>
        <w:spacing w:before="10"/>
        <w:rPr>
          <w:i/>
          <w:sz w:val="18"/>
        </w:rPr>
      </w:pPr>
    </w:p>
    <w:p>
      <w:pPr>
        <w:spacing w:before="66"/>
        <w:ind w:left="2362" w:right="2601" w:firstLine="0"/>
        <w:jc w:val="center"/>
        <w:rPr>
          <w:rFonts w:ascii="Arial"/>
          <w:b/>
          <w:sz w:val="20"/>
        </w:rPr>
      </w:pPr>
      <w:r>
        <w:rPr/>
        <w:pict>
          <v:line style="position:absolute;mso-position-horizontal-relative:page;mso-position-vertical-relative:paragraph;z-index:-252475392" from="293.040009pt,-36.040573pt" to="363.719531pt,-36.040573pt" stroked="true" strokeweight=".719531pt" strokecolor="#000000">
            <v:stroke dashstyle="solid"/>
            <w10:wrap type="none"/>
          </v:line>
        </w:pict>
      </w:r>
      <w:r>
        <w:rPr/>
        <w:pict>
          <v:line style="position:absolute;mso-position-horizontal-relative:page;mso-position-vertical-relative:paragraph;z-index:-252474368" from="384.960022pt,-36.040573pt" to="465.599545pt,-36.040573pt" stroked="true" strokeweight=".719531pt" strokecolor="#000000">
            <v:stroke dashstyle="solid"/>
            <w10:wrap type="none"/>
          </v:line>
        </w:pict>
      </w:r>
      <w:r>
        <w:rPr>
          <w:rFonts w:ascii="Arial"/>
          <w:b/>
          <w:color w:val="993200"/>
          <w:sz w:val="20"/>
        </w:rPr>
        <w:t>Friends of Khasdobir Annual Report and Accounts adopted at a meeting of the Trustees held on May 16</w:t>
      </w:r>
      <w:r>
        <w:rPr>
          <w:rFonts w:ascii="Arial"/>
          <w:b/>
          <w:color w:val="993200"/>
          <w:sz w:val="20"/>
          <w:vertAlign w:val="superscript"/>
        </w:rPr>
        <w:t>th</w:t>
      </w:r>
      <w:r>
        <w:rPr>
          <w:rFonts w:ascii="Arial"/>
          <w:b/>
          <w:color w:val="993200"/>
          <w:sz w:val="20"/>
          <w:vertAlign w:val="baseline"/>
        </w:rPr>
        <w:t> 2017.</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
        <w:rPr>
          <w:rFonts w:ascii="Arial"/>
          <w:b/>
          <w:sz w:val="28"/>
        </w:rPr>
      </w:pPr>
    </w:p>
    <w:p>
      <w:pPr>
        <w:tabs>
          <w:tab w:pos="4426" w:val="left" w:leader="none"/>
        </w:tabs>
        <w:spacing w:before="0"/>
        <w:ind w:left="106" w:right="0" w:firstLine="0"/>
        <w:jc w:val="center"/>
        <w:rPr>
          <w:rFonts w:ascii="Arial"/>
          <w:b/>
          <w:sz w:val="20"/>
        </w:rPr>
      </w:pPr>
      <w:r>
        <w:rPr>
          <w:rFonts w:ascii="Arial"/>
          <w:b/>
          <w:color w:val="993200"/>
          <w:sz w:val="20"/>
        </w:rPr>
        <w:t>MIKE</w:t>
      </w:r>
      <w:r>
        <w:rPr>
          <w:rFonts w:ascii="Arial"/>
          <w:b/>
          <w:color w:val="993200"/>
          <w:spacing w:val="-5"/>
          <w:sz w:val="20"/>
        </w:rPr>
        <w:t> </w:t>
      </w:r>
      <w:r>
        <w:rPr>
          <w:rFonts w:ascii="Arial"/>
          <w:b/>
          <w:color w:val="993200"/>
          <w:sz w:val="20"/>
        </w:rPr>
        <w:t>SHERRIFF</w:t>
        <w:tab/>
        <w:t>GEOFFREY</w:t>
      </w:r>
      <w:r>
        <w:rPr>
          <w:rFonts w:ascii="Arial"/>
          <w:b/>
          <w:color w:val="993200"/>
          <w:spacing w:val="1"/>
          <w:sz w:val="20"/>
        </w:rPr>
        <w:t> </w:t>
      </w:r>
      <w:r>
        <w:rPr>
          <w:rFonts w:ascii="Arial"/>
          <w:b/>
          <w:color w:val="993200"/>
          <w:sz w:val="20"/>
        </w:rPr>
        <w:t>POOL</w:t>
      </w:r>
    </w:p>
    <w:p>
      <w:pPr>
        <w:tabs>
          <w:tab w:pos="4319" w:val="left" w:leader="none"/>
        </w:tabs>
        <w:spacing w:before="8"/>
        <w:ind w:left="0" w:right="245" w:firstLine="0"/>
        <w:jc w:val="center"/>
        <w:rPr>
          <w:rFonts w:ascii="Arial"/>
          <w:b/>
          <w:sz w:val="20"/>
        </w:rPr>
      </w:pPr>
      <w:r>
        <w:rPr>
          <w:rFonts w:ascii="Arial"/>
          <w:b/>
          <w:color w:val="993200"/>
          <w:sz w:val="20"/>
        </w:rPr>
        <w:t>Chair</w:t>
      </w:r>
      <w:r>
        <w:rPr>
          <w:rFonts w:ascii="Arial"/>
          <w:b/>
          <w:color w:val="993200"/>
          <w:spacing w:val="-4"/>
          <w:sz w:val="20"/>
        </w:rPr>
        <w:t> </w:t>
      </w:r>
      <w:r>
        <w:rPr>
          <w:rFonts w:ascii="Arial"/>
          <w:b/>
          <w:color w:val="993200"/>
          <w:sz w:val="20"/>
        </w:rPr>
        <w:t>of</w:t>
      </w:r>
      <w:r>
        <w:rPr>
          <w:rFonts w:ascii="Arial"/>
          <w:b/>
          <w:color w:val="993200"/>
          <w:spacing w:val="-2"/>
          <w:sz w:val="20"/>
        </w:rPr>
        <w:t> </w:t>
      </w:r>
      <w:r>
        <w:rPr>
          <w:rFonts w:ascii="Arial"/>
          <w:b/>
          <w:color w:val="993200"/>
          <w:sz w:val="20"/>
        </w:rPr>
        <w:t>Trustees</w:t>
        <w:tab/>
        <w:t>Hon</w:t>
      </w:r>
      <w:r>
        <w:rPr>
          <w:rFonts w:ascii="Arial"/>
          <w:b/>
          <w:color w:val="993200"/>
          <w:spacing w:val="-1"/>
          <w:sz w:val="20"/>
        </w:rPr>
        <w:t> </w:t>
      </w:r>
      <w:r>
        <w:rPr>
          <w:rFonts w:ascii="Arial"/>
          <w:b/>
          <w:color w:val="993200"/>
          <w:sz w:val="20"/>
        </w:rPr>
        <w:t>Treasurer</w:t>
      </w:r>
    </w:p>
    <w:p>
      <w:pPr>
        <w:pStyle w:val="BodyText"/>
        <w:spacing w:before="1"/>
        <w:rPr>
          <w:rFonts w:ascii="Arial"/>
          <w:b/>
          <w:sz w:val="26"/>
        </w:rPr>
      </w:pPr>
      <w:r>
        <w:rPr/>
        <w:pict>
          <v:group style="position:absolute;margin-left:38.039520pt;margin-top:16.973463pt;width:523pt;height:29.5pt;mso-position-horizontal-relative:page;mso-position-vertical-relative:paragraph;z-index:-251646976;mso-wrap-distance-left:0;mso-wrap-distance-right:0" coordorigin="761,339" coordsize="10460,590">
            <v:line style="position:absolute" from="761,919" to="11220,919" stroked="true" strokeweight="1pt" strokecolor="#983200">
              <v:stroke dashstyle="solid"/>
            </v:line>
            <v:line style="position:absolute" from="770,357" to="770,909" stroked="true" strokeweight=".96pt" strokecolor="#983200">
              <v:stroke dashstyle="solid"/>
            </v:line>
            <v:line style="position:absolute" from="761,348" to="11220,348" stroked="true" strokeweight=".9pt" strokecolor="#983200">
              <v:stroke dashstyle="solid"/>
            </v:line>
            <v:line style="position:absolute" from="11210,358" to="11210,910" stroked="true" strokeweight=".96pt" strokecolor="#983200">
              <v:stroke dashstyle="solid"/>
            </v:line>
            <v:rect style="position:absolute;left:799;top:869;width:10380;height:20" filled="true" fillcolor="#983200" stroked="false">
              <v:fill type="solid"/>
            </v:rect>
            <v:line style="position:absolute" from="810,399" to="810,869" stroked="true" strokeweight="1.08pt" strokecolor="#983200">
              <v:stroke dashstyle="solid"/>
            </v:line>
            <v:rect style="position:absolute;left:799;top:379;width:10380;height:20" filled="true" fillcolor="#983200" stroked="false">
              <v:fill type="solid"/>
            </v:rect>
            <v:line style="position:absolute" from="11170,399" to="11170,869" stroked="true" strokeweight=".96pt" strokecolor="#983200">
              <v:stroke dashstyle="solid"/>
            </v:line>
            <v:shape style="position:absolute;left:801;top:379;width:10379;height:510" type="#_x0000_t202" filled="true" fillcolor="#ccffcc" stroked="false">
              <v:textbox inset="0,0,0,0">
                <w:txbxContent>
                  <w:p>
                    <w:pPr>
                      <w:spacing w:before="91"/>
                      <w:ind w:left="1778" w:right="1780" w:firstLine="0"/>
                      <w:jc w:val="center"/>
                      <w:rPr>
                        <w:rFonts w:ascii="Arial" w:hAnsi="Arial"/>
                        <w:b/>
                        <w:i/>
                        <w:sz w:val="20"/>
                      </w:rPr>
                    </w:pPr>
                    <w:r>
                      <w:rPr>
                        <w:rFonts w:ascii="Arial" w:hAnsi="Arial"/>
                        <w:b/>
                        <w:i/>
                        <w:color w:val="993200"/>
                        <w:sz w:val="20"/>
                      </w:rPr>
                      <w:t>Friends of Khasdobir, 7 St John’s Road, Stoneygate, Leicester LE2 2BL</w:t>
                    </w:r>
                  </w:p>
                </w:txbxContent>
              </v:textbox>
              <v:fill type="solid"/>
              <w10:wrap type="none"/>
            </v:shape>
            <w10:wrap type="topAndBottom"/>
          </v:group>
        </w:pict>
      </w:r>
    </w:p>
    <w:sectPr>
      <w:pgSz w:w="11900" w:h="16840"/>
      <w:pgMar w:header="0" w:footer="752" w:top="820" w:bottom="940" w:left="7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598907pt;margin-top:793.40686pt;width:10pt;height:14pt;mso-position-horizontal-relative:page;mso-position-vertical-relative:page;z-index:-252495872" type="#_x0000_t202" filled="false" stroked="false">
          <v:textbox inset="0,0,0,0">
            <w:txbxContent>
              <w:p>
                <w:pPr>
                  <w:spacing w:line="254" w:lineRule="exact" w:before="0"/>
                  <w:ind w:left="40" w:right="0" w:firstLine="0"/>
                  <w:jc w:val="left"/>
                  <w:rPr>
                    <w:sz w:val="24"/>
                  </w:rPr>
                </w:pPr>
                <w:r>
                  <w:rPr/>
                  <w:fldChar w:fldCharType="begin"/>
                </w:r>
                <w:r>
                  <w:rPr>
                    <w:w w:val="99"/>
                    <w:sz w:val="24"/>
                  </w:rPr>
                  <w:instrText> PAGE </w:instrText>
                </w:r>
                <w:r>
                  <w:rPr/>
                  <w:fldChar w:fldCharType="separate"/>
                </w:r>
                <w:r>
                  <w:rPr/>
                  <w:t>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Roman"/>
      <w:lvlText w:val="(%1)"/>
      <w:lvlJc w:val="left"/>
      <w:pPr>
        <w:ind w:left="1219" w:hanging="504"/>
        <w:jc w:val="right"/>
      </w:pPr>
      <w:rPr>
        <w:rFonts w:hint="default" w:ascii="Times New Roman" w:hAnsi="Times New Roman" w:eastAsia="Times New Roman" w:cs="Times New Roman"/>
        <w:spacing w:val="-1"/>
        <w:w w:val="99"/>
        <w:sz w:val="24"/>
        <w:szCs w:val="24"/>
        <w:lang w:val="en-US" w:eastAsia="en-US" w:bidi="en-US"/>
      </w:rPr>
    </w:lvl>
    <w:lvl w:ilvl="1">
      <w:start w:val="0"/>
      <w:numFmt w:val="bullet"/>
      <w:lvlText w:val="-"/>
      <w:lvlJc w:val="left"/>
      <w:pPr>
        <w:ind w:left="1508" w:hanging="288"/>
      </w:pPr>
      <w:rPr>
        <w:rFonts w:hint="default" w:ascii="Times New Roman" w:hAnsi="Times New Roman" w:eastAsia="Times New Roman" w:cs="Times New Roman"/>
        <w:w w:val="99"/>
        <w:sz w:val="24"/>
        <w:szCs w:val="24"/>
        <w:lang w:val="en-US" w:eastAsia="en-US" w:bidi="en-US"/>
      </w:rPr>
    </w:lvl>
    <w:lvl w:ilvl="2">
      <w:start w:val="0"/>
      <w:numFmt w:val="bullet"/>
      <w:lvlText w:val="•"/>
      <w:lvlJc w:val="left"/>
      <w:pPr>
        <w:ind w:left="2513" w:hanging="288"/>
      </w:pPr>
      <w:rPr>
        <w:rFonts w:hint="default"/>
        <w:lang w:val="en-US" w:eastAsia="en-US" w:bidi="en-US"/>
      </w:rPr>
    </w:lvl>
    <w:lvl w:ilvl="3">
      <w:start w:val="0"/>
      <w:numFmt w:val="bullet"/>
      <w:lvlText w:val="•"/>
      <w:lvlJc w:val="left"/>
      <w:pPr>
        <w:ind w:left="3526" w:hanging="288"/>
      </w:pPr>
      <w:rPr>
        <w:rFonts w:hint="default"/>
        <w:lang w:val="en-US" w:eastAsia="en-US" w:bidi="en-US"/>
      </w:rPr>
    </w:lvl>
    <w:lvl w:ilvl="4">
      <w:start w:val="0"/>
      <w:numFmt w:val="bullet"/>
      <w:lvlText w:val="•"/>
      <w:lvlJc w:val="left"/>
      <w:pPr>
        <w:ind w:left="4540" w:hanging="288"/>
      </w:pPr>
      <w:rPr>
        <w:rFonts w:hint="default"/>
        <w:lang w:val="en-US" w:eastAsia="en-US" w:bidi="en-US"/>
      </w:rPr>
    </w:lvl>
    <w:lvl w:ilvl="5">
      <w:start w:val="0"/>
      <w:numFmt w:val="bullet"/>
      <w:lvlText w:val="•"/>
      <w:lvlJc w:val="left"/>
      <w:pPr>
        <w:ind w:left="5553" w:hanging="288"/>
      </w:pPr>
      <w:rPr>
        <w:rFonts w:hint="default"/>
        <w:lang w:val="en-US" w:eastAsia="en-US" w:bidi="en-US"/>
      </w:rPr>
    </w:lvl>
    <w:lvl w:ilvl="6">
      <w:start w:val="0"/>
      <w:numFmt w:val="bullet"/>
      <w:lvlText w:val="•"/>
      <w:lvlJc w:val="left"/>
      <w:pPr>
        <w:ind w:left="6566" w:hanging="288"/>
      </w:pPr>
      <w:rPr>
        <w:rFonts w:hint="default"/>
        <w:lang w:val="en-US" w:eastAsia="en-US" w:bidi="en-US"/>
      </w:rPr>
    </w:lvl>
    <w:lvl w:ilvl="7">
      <w:start w:val="0"/>
      <w:numFmt w:val="bullet"/>
      <w:lvlText w:val="•"/>
      <w:lvlJc w:val="left"/>
      <w:pPr>
        <w:ind w:left="7580" w:hanging="288"/>
      </w:pPr>
      <w:rPr>
        <w:rFonts w:hint="default"/>
        <w:lang w:val="en-US" w:eastAsia="en-US" w:bidi="en-US"/>
      </w:rPr>
    </w:lvl>
    <w:lvl w:ilvl="8">
      <w:start w:val="0"/>
      <w:numFmt w:val="bullet"/>
      <w:lvlText w:val="•"/>
      <w:lvlJc w:val="left"/>
      <w:pPr>
        <w:ind w:left="8593" w:hanging="288"/>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spacing w:before="9"/>
      <w:ind w:left="552"/>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ind w:left="111"/>
      <w:outlineLvl w:val="2"/>
    </w:pPr>
    <w:rPr>
      <w:rFonts w:ascii="Times New Roman" w:hAnsi="Times New Roman" w:eastAsia="Times New Roman" w:cs="Times New Roman"/>
      <w:sz w:val="24"/>
      <w:szCs w:val="24"/>
      <w:lang w:val="en-US" w:eastAsia="en-US" w:bidi="en-US"/>
    </w:rPr>
  </w:style>
  <w:style w:styleId="Heading3" w:type="paragraph">
    <w:name w:val="Heading 3"/>
    <w:basedOn w:val="Normal"/>
    <w:uiPriority w:val="1"/>
    <w:qFormat/>
    <w:pPr>
      <w:spacing w:line="251" w:lineRule="exact"/>
      <w:ind w:left="552"/>
      <w:jc w:val="both"/>
      <w:outlineLvl w:val="3"/>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ind w:left="1219" w:hanging="72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khasdobir.org.uk/" TargetMode="Externa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mailto:j.gosling@btinternet.com" TargetMode="External"/><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dc:creator>
  <dc:title>Microsoft Word - Annual Report and Accounts 2017.doc</dc:title>
  <dcterms:created xsi:type="dcterms:W3CDTF">2019-06-15T12:16:50Z</dcterms:created>
  <dcterms:modified xsi:type="dcterms:W3CDTF">2019-06-15T12:16:50Z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2017-06-08T00:00:00Z</vt:filetime>
  </property>
  <property fmtid="{D5CDD505-2E9C-101B-9397-08002B2CF9AE}" pid="3" name="Creator">
    <vt:lpwstr>PScript5.dll Version 5.2.2</vt:lpwstr>
  </property>
  <property fmtid="{D5CDD505-2E9C-101B-9397-08002B2CF9AE}" pid="4" name="LastSaved">
    <vt:filetime>2019-06-15T00:00:00Z</vt:filetime>
  </property>
</Properties>
</file>